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1429F" w14:textId="77777777" w:rsidR="00FF5FFC" w:rsidRDefault="00FF5FFC" w:rsidP="00D203F0">
      <w:pPr>
        <w:spacing w:beforeLines="80" w:before="192" w:afterLines="80" w:after="192" w:line="288" w:lineRule="auto"/>
        <w:rPr>
          <w:b/>
        </w:rPr>
      </w:pPr>
      <w:r w:rsidRPr="00FA469D">
        <w:rPr>
          <w:b/>
        </w:rPr>
        <w:t>Reason</w:t>
      </w:r>
      <w:r w:rsidR="00D530F4">
        <w:rPr>
          <w:b/>
        </w:rPr>
        <w:t>s</w:t>
      </w:r>
      <w:r w:rsidRPr="00FA469D">
        <w:rPr>
          <w:b/>
        </w:rPr>
        <w:t xml:space="preserve"> for subcontracting</w:t>
      </w:r>
    </w:p>
    <w:p w14:paraId="508589A1" w14:textId="54AFCB2D" w:rsidR="00D203F0" w:rsidRDefault="00835096" w:rsidP="00AF4CBC">
      <w:pPr>
        <w:spacing w:beforeLines="80" w:before="192" w:afterLines="80" w:after="192" w:line="288" w:lineRule="auto"/>
      </w:pPr>
      <w:r>
        <w:t>Southampton City Council</w:t>
      </w:r>
      <w:r w:rsidR="00455BF2">
        <w:t xml:space="preserve"> (SCC)</w:t>
      </w:r>
      <w:r w:rsidR="009F7FBA">
        <w:t>’s adult learning service</w:t>
      </w:r>
      <w:r w:rsidR="00AF6E9D">
        <w:t xml:space="preserve"> </w:t>
      </w:r>
      <w:r w:rsidR="00125B96">
        <w:t>commissions delivery of its Adult Education Budget (AEB) budget to a range of internal and external delivery partners</w:t>
      </w:r>
      <w:r w:rsidR="00007689">
        <w:t xml:space="preserve">.  The process follows the council’s </w:t>
      </w:r>
      <w:r w:rsidR="00125B96">
        <w:t>Procurement Strategy</w:t>
      </w:r>
      <w:r w:rsidR="00007689">
        <w:t xml:space="preserve">, the </w:t>
      </w:r>
      <w:r w:rsidR="0003118F">
        <w:t xml:space="preserve">City Council’s “Southampton </w:t>
      </w:r>
      <w:r w:rsidR="00F924D6">
        <w:t>First</w:t>
      </w:r>
      <w:r w:rsidR="0003118F">
        <w:t>’</w:t>
      </w:r>
      <w:r w:rsidR="00F924D6">
        <w:t xml:space="preserve"> policy</w:t>
      </w:r>
      <w:r w:rsidR="00007689">
        <w:t xml:space="preserve">, and their supporting policies and procedures.  </w:t>
      </w:r>
      <w:r w:rsidR="00F924D6">
        <w:t xml:space="preserve">Over the last three years, an average of </w:t>
      </w:r>
      <w:r w:rsidR="000A35E5" w:rsidRPr="004E1B74">
        <w:t>1</w:t>
      </w:r>
      <w:r w:rsidR="004E1B74" w:rsidRPr="004E1B74">
        <w:t>9</w:t>
      </w:r>
      <w:r w:rsidR="00F924D6" w:rsidRPr="004E1B74">
        <w:t xml:space="preserve">% of </w:t>
      </w:r>
      <w:r w:rsidR="00007689">
        <w:t xml:space="preserve">the commissioned delivery has been </w:t>
      </w:r>
      <w:r w:rsidR="00075E29">
        <w:t xml:space="preserve">directed towards </w:t>
      </w:r>
      <w:r w:rsidR="00007689">
        <w:t xml:space="preserve">internal delivery partners.  The use of external delivery partners enables the service to offer a wide range of courses and venues and make the most of the experience and expertise of many different training providers.   It also helps to ensure value for money and a responsive and </w:t>
      </w:r>
      <w:r w:rsidR="00827893">
        <w:t xml:space="preserve">flexible </w:t>
      </w:r>
      <w:r w:rsidR="00D02654">
        <w:t>service to learners</w:t>
      </w:r>
      <w:r w:rsidR="00007689">
        <w:t xml:space="preserve">. </w:t>
      </w:r>
      <w:r w:rsidR="00A1008C">
        <w:t xml:space="preserve"> </w:t>
      </w:r>
    </w:p>
    <w:p w14:paraId="2DFDC459" w14:textId="77777777" w:rsidR="00452DFC" w:rsidRDefault="000825D9" w:rsidP="00AF4CBC">
      <w:pPr>
        <w:spacing w:beforeLines="80" w:before="192" w:afterLines="80" w:after="192" w:line="288" w:lineRule="auto"/>
      </w:pPr>
      <w:r w:rsidRPr="005838C9">
        <w:t>All</w:t>
      </w:r>
      <w:r w:rsidR="00667E9B" w:rsidRPr="005838C9">
        <w:t xml:space="preserve"> </w:t>
      </w:r>
      <w:r w:rsidR="004C30D3" w:rsidRPr="005838C9">
        <w:t xml:space="preserve">externally delivered provision in the </w:t>
      </w:r>
      <w:r w:rsidR="00DF795F">
        <w:t>202</w:t>
      </w:r>
      <w:r w:rsidR="006261A4">
        <w:t>1</w:t>
      </w:r>
      <w:r w:rsidR="00DF795F">
        <w:t>-2</w:t>
      </w:r>
      <w:r w:rsidR="006261A4">
        <w:t>2</w:t>
      </w:r>
      <w:r w:rsidR="00A85FC0">
        <w:t xml:space="preserve"> </w:t>
      </w:r>
      <w:r w:rsidR="004C30D3" w:rsidRPr="005838C9">
        <w:t xml:space="preserve">academic year </w:t>
      </w:r>
      <w:r w:rsidR="00A85FC0">
        <w:t xml:space="preserve">is </w:t>
      </w:r>
      <w:r w:rsidR="002C1DFC">
        <w:t xml:space="preserve">subcontracted under </w:t>
      </w:r>
      <w:r w:rsidR="00A85FC0">
        <w:t xml:space="preserve">the </w:t>
      </w:r>
      <w:r w:rsidR="00DF795F">
        <w:t>second</w:t>
      </w:r>
      <w:r w:rsidR="00A85FC0">
        <w:t xml:space="preserve"> year of </w:t>
      </w:r>
      <w:r w:rsidR="002C1DFC">
        <w:t xml:space="preserve">a </w:t>
      </w:r>
      <w:r w:rsidR="00A85FC0">
        <w:t>four</w:t>
      </w:r>
      <w:r w:rsidR="000D63FB">
        <w:t>-</w:t>
      </w:r>
      <w:r w:rsidR="002C1DFC">
        <w:t xml:space="preserve">year framework </w:t>
      </w:r>
      <w:r w:rsidR="00A85FC0">
        <w:t xml:space="preserve">which started in </w:t>
      </w:r>
      <w:r w:rsidR="004665BE">
        <w:t>July 2019</w:t>
      </w:r>
      <w:r w:rsidR="00306380">
        <w:t xml:space="preserve">.  This framework was </w:t>
      </w:r>
      <w:r w:rsidR="004665BE">
        <w:t>established using a formal</w:t>
      </w:r>
      <w:r w:rsidR="00D203F0">
        <w:t>, OJEU compliant,</w:t>
      </w:r>
      <w:r w:rsidR="004665BE">
        <w:t xml:space="preserve"> procurement process</w:t>
      </w:r>
      <w:r w:rsidR="00D203F0">
        <w:t>.  The</w:t>
      </w:r>
      <w:r w:rsidR="004665BE" w:rsidRPr="004665BE">
        <w:t xml:space="preserve"> service decided </w:t>
      </w:r>
      <w:r w:rsidR="004665BE">
        <w:t xml:space="preserve">who </w:t>
      </w:r>
      <w:r w:rsidR="004665BE" w:rsidRPr="004665BE">
        <w:t xml:space="preserve">to </w:t>
      </w:r>
      <w:r w:rsidR="00D203F0">
        <w:t xml:space="preserve">include </w:t>
      </w:r>
      <w:r w:rsidR="004665BE" w:rsidRPr="004665BE">
        <w:t>after a rigor</w:t>
      </w:r>
      <w:r w:rsidR="0052494F">
        <w:t>ous quality assessment process to</w:t>
      </w:r>
      <w:r w:rsidR="004665BE" w:rsidRPr="004665BE">
        <w:t xml:space="preserve"> </w:t>
      </w:r>
      <w:r w:rsidR="00D203F0">
        <w:t xml:space="preserve">ensure </w:t>
      </w:r>
      <w:r w:rsidR="004665BE" w:rsidRPr="004665BE">
        <w:t xml:space="preserve">that </w:t>
      </w:r>
      <w:r w:rsidR="0052494F">
        <w:t>subcontractor</w:t>
      </w:r>
      <w:r w:rsidR="00D203F0">
        <w:t>s</w:t>
      </w:r>
      <w:r w:rsidR="004665BE" w:rsidRPr="004665BE">
        <w:t xml:space="preserve"> met the high standards set out by </w:t>
      </w:r>
      <w:r w:rsidR="00D203F0">
        <w:t>SCC</w:t>
      </w:r>
      <w:r w:rsidR="00BC56C2">
        <w:t>.</w:t>
      </w:r>
    </w:p>
    <w:p w14:paraId="7B626285" w14:textId="77777777" w:rsidR="00A85FC0" w:rsidRDefault="00A85FC0" w:rsidP="00AF4CBC">
      <w:pPr>
        <w:spacing w:after="80" w:line="276" w:lineRule="auto"/>
        <w:ind w:right="454"/>
        <w:rPr>
          <w:rFonts w:cs="Arial"/>
        </w:rPr>
      </w:pPr>
      <w:r>
        <w:t>S</w:t>
      </w:r>
      <w:r w:rsidR="00D2675D">
        <w:t xml:space="preserve">ubcontractors have formal contractual agreements which clearly lay out the rights and responsibilities on both sides of the subcontracting agreement for the full length of the framework.  </w:t>
      </w:r>
      <w:r>
        <w:rPr>
          <w:rFonts w:cs="Arial"/>
        </w:rPr>
        <w:t xml:space="preserve">All service providers are invited to bid on an annual basis for funding, usually </w:t>
      </w:r>
      <w:r w:rsidR="00075E29">
        <w:rPr>
          <w:rFonts w:cs="Arial"/>
        </w:rPr>
        <w:t xml:space="preserve">in </w:t>
      </w:r>
      <w:r>
        <w:rPr>
          <w:rFonts w:cs="Arial"/>
        </w:rPr>
        <w:t xml:space="preserve">April before the start of the academic year.  The council’s priorities and targets for the coming year are explained in the mini competition and annual </w:t>
      </w:r>
      <w:r w:rsidR="0003118F">
        <w:rPr>
          <w:rFonts w:cs="Arial"/>
        </w:rPr>
        <w:t xml:space="preserve">orders lay out in </w:t>
      </w:r>
      <w:r>
        <w:rPr>
          <w:rFonts w:cs="Arial"/>
        </w:rPr>
        <w:t xml:space="preserve">detail </w:t>
      </w:r>
      <w:r w:rsidR="0003118F">
        <w:rPr>
          <w:rFonts w:cs="Arial"/>
        </w:rPr>
        <w:t xml:space="preserve">the agreed </w:t>
      </w:r>
      <w:r>
        <w:rPr>
          <w:rFonts w:cs="Arial"/>
        </w:rPr>
        <w:t>delivery for that year.</w:t>
      </w:r>
    </w:p>
    <w:p w14:paraId="086A8081" w14:textId="77777777" w:rsidR="00AF4CBC" w:rsidRDefault="00AF4CBC" w:rsidP="00AF4CBC">
      <w:pPr>
        <w:spacing w:after="80" w:line="276" w:lineRule="auto"/>
        <w:ind w:right="454"/>
        <w:rPr>
          <w:rFonts w:cs="Arial"/>
        </w:rPr>
      </w:pPr>
    </w:p>
    <w:p w14:paraId="78D095D3" w14:textId="77777777" w:rsidR="00AF4CBC" w:rsidRPr="00AF4CBC" w:rsidRDefault="00AF4CBC" w:rsidP="00AF4CBC">
      <w:pPr>
        <w:spacing w:after="80" w:line="276" w:lineRule="auto"/>
        <w:ind w:right="454"/>
        <w:rPr>
          <w:rFonts w:cs="Arial"/>
          <w:b/>
        </w:rPr>
      </w:pPr>
      <w:r w:rsidRPr="00AF4CBC">
        <w:rPr>
          <w:rFonts w:cs="Arial"/>
          <w:b/>
        </w:rPr>
        <w:t>Allocation of subcontracted funding</w:t>
      </w:r>
    </w:p>
    <w:p w14:paraId="7510ABFF" w14:textId="77777777" w:rsidR="000A35E5" w:rsidRDefault="000A35E5" w:rsidP="00AF4CBC">
      <w:pPr>
        <w:spacing w:line="276" w:lineRule="auto"/>
        <w:ind w:right="454"/>
        <w:rPr>
          <w:rFonts w:cs="Arial"/>
        </w:rPr>
      </w:pPr>
      <w:r w:rsidRPr="000A35E5">
        <w:rPr>
          <w:rFonts w:cs="Arial"/>
        </w:rPr>
        <w:t>Funding for the 202</w:t>
      </w:r>
      <w:r w:rsidR="006261A4">
        <w:rPr>
          <w:rFonts w:cs="Arial"/>
        </w:rPr>
        <w:t>1</w:t>
      </w:r>
      <w:r w:rsidRPr="000A35E5">
        <w:rPr>
          <w:rFonts w:cs="Arial"/>
        </w:rPr>
        <w:t>-2</w:t>
      </w:r>
      <w:r w:rsidR="006261A4">
        <w:rPr>
          <w:rFonts w:cs="Arial"/>
        </w:rPr>
        <w:t>2</w:t>
      </w:r>
      <w:r w:rsidRPr="000A35E5">
        <w:rPr>
          <w:rFonts w:cs="Arial"/>
        </w:rPr>
        <w:t xml:space="preserve"> academic year has been decided using a variety of rationales, as detailed in the Adult Education Budget 1 August 202</w:t>
      </w:r>
      <w:r w:rsidR="006261A4">
        <w:rPr>
          <w:rFonts w:cs="Arial"/>
        </w:rPr>
        <w:t>1</w:t>
      </w:r>
      <w:r w:rsidRPr="000A35E5">
        <w:rPr>
          <w:rFonts w:cs="Arial"/>
        </w:rPr>
        <w:t xml:space="preserve"> - 31 July 202</w:t>
      </w:r>
      <w:r w:rsidR="006261A4">
        <w:rPr>
          <w:rFonts w:cs="Arial"/>
        </w:rPr>
        <w:t>2</w:t>
      </w:r>
      <w:r w:rsidRPr="000A35E5">
        <w:rPr>
          <w:rFonts w:cs="Arial"/>
        </w:rPr>
        <w:t xml:space="preserve"> Specification (provided as part of the tender documentation). </w:t>
      </w:r>
    </w:p>
    <w:p w14:paraId="1BA348A7" w14:textId="77777777" w:rsidR="00AF4CBC" w:rsidRPr="000A35E5" w:rsidRDefault="00AF4CBC" w:rsidP="00AF4CBC">
      <w:pPr>
        <w:spacing w:line="276" w:lineRule="auto"/>
        <w:ind w:right="454"/>
        <w:rPr>
          <w:rFonts w:cs="Arial"/>
        </w:rPr>
      </w:pPr>
    </w:p>
    <w:p w14:paraId="6227019D" w14:textId="77777777" w:rsidR="000A35E5" w:rsidRPr="00B4316E" w:rsidRDefault="000A35E5" w:rsidP="00AF4CBC">
      <w:pPr>
        <w:spacing w:line="276" w:lineRule="auto"/>
        <w:ind w:right="454"/>
        <w:rPr>
          <w:rFonts w:cs="Arial"/>
        </w:rPr>
      </w:pPr>
      <w:r w:rsidRPr="00B4316E">
        <w:rPr>
          <w:rFonts w:cs="Arial"/>
        </w:rPr>
        <w:t>Each service provider response to five quality questions was considered and scored individually by the four members of the Adult Education team.  The questions covered:</w:t>
      </w:r>
    </w:p>
    <w:p w14:paraId="0D75C0CD" w14:textId="77777777" w:rsidR="00AF4CBC" w:rsidRPr="00B4316E" w:rsidRDefault="00AF4CBC" w:rsidP="00AF4CBC">
      <w:pPr>
        <w:spacing w:line="276" w:lineRule="auto"/>
        <w:ind w:left="454" w:right="454"/>
        <w:rPr>
          <w:rFonts w:cs="Arial"/>
        </w:rPr>
      </w:pPr>
    </w:p>
    <w:p w14:paraId="79722700" w14:textId="77777777" w:rsidR="000A35E5" w:rsidRPr="00B4316E" w:rsidRDefault="000A35E5" w:rsidP="00AF4CBC">
      <w:pPr>
        <w:numPr>
          <w:ilvl w:val="0"/>
          <w:numId w:val="16"/>
        </w:numPr>
        <w:spacing w:line="276" w:lineRule="auto"/>
        <w:ind w:left="454" w:right="454"/>
        <w:rPr>
          <w:rFonts w:cs="Arial"/>
        </w:rPr>
      </w:pPr>
      <w:r w:rsidRPr="00B4316E">
        <w:rPr>
          <w:rFonts w:cs="Arial"/>
        </w:rPr>
        <w:t>Proposed learner target groups</w:t>
      </w:r>
      <w:r w:rsidR="00B97D77" w:rsidRPr="00B4316E">
        <w:rPr>
          <w:rFonts w:cs="Arial"/>
        </w:rPr>
        <w:t xml:space="preserve"> and recruitment plans</w:t>
      </w:r>
    </w:p>
    <w:p w14:paraId="2B4F237C" w14:textId="77777777" w:rsidR="000A35E5" w:rsidRPr="00B4316E" w:rsidRDefault="000A35E5" w:rsidP="00AF4CBC">
      <w:pPr>
        <w:numPr>
          <w:ilvl w:val="0"/>
          <w:numId w:val="16"/>
        </w:numPr>
        <w:spacing w:line="276" w:lineRule="auto"/>
        <w:ind w:left="454" w:right="454"/>
        <w:rPr>
          <w:rFonts w:cs="Arial"/>
        </w:rPr>
      </w:pPr>
      <w:r w:rsidRPr="00B4316E">
        <w:rPr>
          <w:rFonts w:cs="Arial"/>
        </w:rPr>
        <w:t xml:space="preserve">The quality of work given to learners </w:t>
      </w:r>
    </w:p>
    <w:p w14:paraId="161128E3" w14:textId="77777777" w:rsidR="000A35E5" w:rsidRPr="00B4316E" w:rsidRDefault="000A35E5" w:rsidP="00AF4CBC">
      <w:pPr>
        <w:numPr>
          <w:ilvl w:val="0"/>
          <w:numId w:val="16"/>
        </w:numPr>
        <w:spacing w:line="276" w:lineRule="auto"/>
        <w:ind w:left="454" w:right="454"/>
        <w:rPr>
          <w:rFonts w:cs="Arial"/>
        </w:rPr>
      </w:pPr>
      <w:r w:rsidRPr="00B4316E">
        <w:rPr>
          <w:rFonts w:cs="Arial"/>
        </w:rPr>
        <w:t xml:space="preserve">Learner progression </w:t>
      </w:r>
      <w:r w:rsidR="00976E03" w:rsidRPr="00B4316E">
        <w:rPr>
          <w:rFonts w:cs="Arial"/>
        </w:rPr>
        <w:t>&amp; Special Educational Needs</w:t>
      </w:r>
    </w:p>
    <w:p w14:paraId="2B5A41F7" w14:textId="77777777" w:rsidR="000A35E5" w:rsidRPr="00B4316E" w:rsidRDefault="00976E03" w:rsidP="00AF4CBC">
      <w:pPr>
        <w:numPr>
          <w:ilvl w:val="0"/>
          <w:numId w:val="16"/>
        </w:numPr>
        <w:spacing w:line="276" w:lineRule="auto"/>
        <w:ind w:left="454" w:right="454"/>
        <w:rPr>
          <w:rFonts w:cs="Arial"/>
        </w:rPr>
      </w:pPr>
      <w:r w:rsidRPr="00B4316E">
        <w:rPr>
          <w:rFonts w:cs="Arial"/>
        </w:rPr>
        <w:t xml:space="preserve">Sustainability </w:t>
      </w:r>
    </w:p>
    <w:p w14:paraId="40A16EBB" w14:textId="77777777" w:rsidR="000A35E5" w:rsidRPr="00B4316E" w:rsidRDefault="000A35E5" w:rsidP="00AF4CBC">
      <w:pPr>
        <w:numPr>
          <w:ilvl w:val="0"/>
          <w:numId w:val="16"/>
        </w:numPr>
        <w:spacing w:line="276" w:lineRule="auto"/>
        <w:ind w:left="454" w:right="454"/>
        <w:rPr>
          <w:rFonts w:cs="Arial"/>
        </w:rPr>
      </w:pPr>
      <w:r w:rsidRPr="00B4316E">
        <w:rPr>
          <w:rFonts w:cs="Arial"/>
        </w:rPr>
        <w:t>Impact of 20</w:t>
      </w:r>
      <w:r w:rsidR="00B4316E" w:rsidRPr="00B4316E">
        <w:rPr>
          <w:rFonts w:cs="Arial"/>
        </w:rPr>
        <w:t>20</w:t>
      </w:r>
      <w:r w:rsidRPr="00B4316E">
        <w:rPr>
          <w:rFonts w:cs="Arial"/>
        </w:rPr>
        <w:t>-2</w:t>
      </w:r>
      <w:r w:rsidR="00B4316E" w:rsidRPr="00B4316E">
        <w:rPr>
          <w:rFonts w:cs="Arial"/>
        </w:rPr>
        <w:t>1</w:t>
      </w:r>
      <w:r w:rsidRPr="00B4316E">
        <w:rPr>
          <w:rFonts w:cs="Arial"/>
        </w:rPr>
        <w:t xml:space="preserve"> delivery on plans for 202</w:t>
      </w:r>
      <w:r w:rsidR="00B4316E" w:rsidRPr="00B4316E">
        <w:rPr>
          <w:rFonts w:cs="Arial"/>
        </w:rPr>
        <w:t>1</w:t>
      </w:r>
      <w:r w:rsidRPr="00B4316E">
        <w:rPr>
          <w:rFonts w:cs="Arial"/>
        </w:rPr>
        <w:t>-2</w:t>
      </w:r>
      <w:r w:rsidR="00B4316E" w:rsidRPr="00B4316E">
        <w:rPr>
          <w:rFonts w:cs="Arial"/>
        </w:rPr>
        <w:t>2</w:t>
      </w:r>
    </w:p>
    <w:p w14:paraId="0C21D926" w14:textId="77777777" w:rsidR="000A35E5" w:rsidRPr="006261A4" w:rsidRDefault="000A35E5" w:rsidP="00AF4CBC">
      <w:pPr>
        <w:spacing w:line="276" w:lineRule="auto"/>
        <w:ind w:left="454" w:right="454"/>
        <w:rPr>
          <w:rFonts w:cs="Arial"/>
          <w:color w:val="FF0000"/>
        </w:rPr>
      </w:pPr>
    </w:p>
    <w:p w14:paraId="099438C9" w14:textId="77777777" w:rsidR="000A35E5" w:rsidRPr="00365A5F" w:rsidRDefault="000A35E5" w:rsidP="00AF4CBC">
      <w:pPr>
        <w:spacing w:line="276" w:lineRule="auto"/>
        <w:ind w:right="454"/>
        <w:rPr>
          <w:rFonts w:cs="Arial"/>
        </w:rPr>
      </w:pPr>
      <w:r w:rsidRPr="00365A5F">
        <w:rPr>
          <w:rFonts w:cs="Arial"/>
        </w:rPr>
        <w:t xml:space="preserve">A moderation meeting was then facilitated by the Procurement team, resulting in a combined, moderated score for each question, and a ranking for each service provider. </w:t>
      </w:r>
    </w:p>
    <w:p w14:paraId="1653306B" w14:textId="77777777" w:rsidR="00AF4CBC" w:rsidRPr="00365A5F" w:rsidRDefault="000A35E5" w:rsidP="00AF4CBC">
      <w:pPr>
        <w:spacing w:line="276" w:lineRule="auto"/>
        <w:ind w:right="454"/>
        <w:rPr>
          <w:rFonts w:cs="Arial"/>
        </w:rPr>
      </w:pPr>
      <w:r w:rsidRPr="00365A5F">
        <w:rPr>
          <w:rFonts w:cs="Arial"/>
        </w:rPr>
        <w:lastRenderedPageBreak/>
        <w:t xml:space="preserve">Funding was allocated by considering each service provider in order of their ranking, </w:t>
      </w:r>
      <w:proofErr w:type="gramStart"/>
      <w:r w:rsidRPr="00365A5F">
        <w:rPr>
          <w:rFonts w:cs="Arial"/>
        </w:rPr>
        <w:t>i.e.</w:t>
      </w:r>
      <w:proofErr w:type="gramEnd"/>
      <w:r w:rsidRPr="00365A5F">
        <w:rPr>
          <w:rFonts w:cs="Arial"/>
        </w:rPr>
        <w:t xml:space="preserve"> the ranking determined the percentage of the funding allocated compared to their bid.  </w:t>
      </w:r>
    </w:p>
    <w:p w14:paraId="10753198" w14:textId="77777777" w:rsidR="00AF4CBC" w:rsidRPr="00365A5F" w:rsidRDefault="00AF4CBC" w:rsidP="00AF4CBC">
      <w:pPr>
        <w:spacing w:line="276" w:lineRule="auto"/>
        <w:ind w:right="454"/>
        <w:rPr>
          <w:rFonts w:cs="Arial"/>
        </w:rPr>
      </w:pPr>
    </w:p>
    <w:p w14:paraId="7AFC5AF3" w14:textId="77777777" w:rsidR="000A35E5" w:rsidRPr="00365A5F" w:rsidRDefault="000A35E5" w:rsidP="00AF4CBC">
      <w:pPr>
        <w:spacing w:line="276" w:lineRule="auto"/>
        <w:ind w:right="454"/>
        <w:rPr>
          <w:rFonts w:cs="Arial"/>
        </w:rPr>
      </w:pPr>
      <w:r w:rsidRPr="00365A5F">
        <w:rPr>
          <w:rFonts w:cs="Arial"/>
        </w:rPr>
        <w:t xml:space="preserve">Each service provider’s proposed courses were also considered in terms of the criteria in the specification and on how they contributed to the needs of a wide range of client groups across the city: </w:t>
      </w:r>
    </w:p>
    <w:p w14:paraId="3E3A0819" w14:textId="77777777" w:rsidR="000A35E5" w:rsidRPr="00365A5F" w:rsidRDefault="000A35E5" w:rsidP="00AF4CBC">
      <w:pPr>
        <w:spacing w:line="276" w:lineRule="auto"/>
        <w:ind w:left="454" w:right="454"/>
        <w:rPr>
          <w:rFonts w:cs="Arial"/>
        </w:rPr>
      </w:pPr>
    </w:p>
    <w:p w14:paraId="53558F9B" w14:textId="77777777" w:rsidR="000A35E5" w:rsidRPr="00365A5F" w:rsidRDefault="000A35E5" w:rsidP="00AF4CBC">
      <w:pPr>
        <w:numPr>
          <w:ilvl w:val="0"/>
          <w:numId w:val="15"/>
        </w:numPr>
        <w:spacing w:line="276" w:lineRule="auto"/>
        <w:ind w:left="454" w:right="454"/>
        <w:rPr>
          <w:rFonts w:cs="Arial"/>
        </w:rPr>
      </w:pPr>
      <w:r w:rsidRPr="00365A5F">
        <w:rPr>
          <w:rFonts w:cs="Arial"/>
        </w:rPr>
        <w:t xml:space="preserve">Client groups who will either benefit more from the learning offer or who are currently under-represented in our programme.  </w:t>
      </w:r>
    </w:p>
    <w:p w14:paraId="14731610" w14:textId="1ADEF56F" w:rsidR="000A35E5" w:rsidRPr="00365A5F" w:rsidRDefault="000A35E5" w:rsidP="00AF4CBC">
      <w:pPr>
        <w:numPr>
          <w:ilvl w:val="0"/>
          <w:numId w:val="15"/>
        </w:numPr>
        <w:spacing w:line="276" w:lineRule="auto"/>
        <w:ind w:left="454" w:right="454"/>
        <w:rPr>
          <w:rFonts w:cs="Arial"/>
        </w:rPr>
      </w:pPr>
      <w:r w:rsidRPr="00365A5F">
        <w:rPr>
          <w:rFonts w:cs="Arial"/>
        </w:rPr>
        <w:t>The activity meets specified local and/or national agendas where adult learning has been identified as being able to make a strong contribution.  These agendas include those that respond to issues raised by the coronavirus/C</w:t>
      </w:r>
      <w:r w:rsidR="00E4170E">
        <w:rPr>
          <w:rFonts w:cs="Arial"/>
        </w:rPr>
        <w:t>ovid</w:t>
      </w:r>
      <w:r w:rsidRPr="00365A5F">
        <w:rPr>
          <w:rFonts w:cs="Arial"/>
        </w:rPr>
        <w:t xml:space="preserve">-19 pandemic: </w:t>
      </w:r>
    </w:p>
    <w:p w14:paraId="1E2214BE" w14:textId="77777777" w:rsidR="000A35E5" w:rsidRPr="00365A5F" w:rsidRDefault="000A35E5" w:rsidP="00AF4CBC">
      <w:pPr>
        <w:pStyle w:val="ListParagraph"/>
        <w:numPr>
          <w:ilvl w:val="1"/>
          <w:numId w:val="15"/>
        </w:numPr>
        <w:spacing w:after="120" w:line="276" w:lineRule="auto"/>
        <w:ind w:right="454"/>
        <w:rPr>
          <w:rFonts w:cs="Arial"/>
        </w:rPr>
      </w:pPr>
      <w:r w:rsidRPr="00365A5F">
        <w:rPr>
          <w:rFonts w:cs="Arial"/>
        </w:rPr>
        <w:t xml:space="preserve">Employability skills </w:t>
      </w:r>
    </w:p>
    <w:p w14:paraId="1C8287F4" w14:textId="77777777" w:rsidR="000A35E5" w:rsidRPr="00365A5F" w:rsidRDefault="000A35E5" w:rsidP="00AF4CBC">
      <w:pPr>
        <w:pStyle w:val="ListParagraph"/>
        <w:numPr>
          <w:ilvl w:val="1"/>
          <w:numId w:val="15"/>
        </w:numPr>
        <w:spacing w:after="120" w:line="276" w:lineRule="auto"/>
        <w:ind w:right="454"/>
        <w:rPr>
          <w:rFonts w:cs="Arial"/>
        </w:rPr>
      </w:pPr>
      <w:r w:rsidRPr="00365A5F">
        <w:rPr>
          <w:rFonts w:cs="Arial"/>
        </w:rPr>
        <w:t>Mental health and resilience</w:t>
      </w:r>
    </w:p>
    <w:p w14:paraId="56A667B1" w14:textId="77777777" w:rsidR="000A35E5" w:rsidRPr="00365A5F" w:rsidRDefault="000A35E5" w:rsidP="00AF4CBC">
      <w:pPr>
        <w:pStyle w:val="ListParagraph"/>
        <w:numPr>
          <w:ilvl w:val="1"/>
          <w:numId w:val="15"/>
        </w:numPr>
        <w:spacing w:after="120" w:line="276" w:lineRule="auto"/>
        <w:ind w:right="454"/>
        <w:rPr>
          <w:rFonts w:cs="Arial"/>
        </w:rPr>
      </w:pPr>
      <w:r w:rsidRPr="00365A5F">
        <w:rPr>
          <w:rFonts w:cs="Arial"/>
        </w:rPr>
        <w:t>Digital skills</w:t>
      </w:r>
    </w:p>
    <w:p w14:paraId="48E4D927" w14:textId="77777777" w:rsidR="00AF4CBC" w:rsidRPr="00365A5F" w:rsidRDefault="000A35E5" w:rsidP="00AF4CBC">
      <w:pPr>
        <w:spacing w:line="276" w:lineRule="auto"/>
        <w:ind w:right="454"/>
      </w:pPr>
      <w:r w:rsidRPr="00365A5F">
        <w:t>Funding requests far outstripped available funding and additional consideration was therefore given to designing a balanced programme that offers a broad range of subjects at a variety of levels aiming to support those most disadvantaged across the whole city.</w:t>
      </w:r>
    </w:p>
    <w:p w14:paraId="0E6B7D92" w14:textId="77777777" w:rsidR="00AF4CBC" w:rsidRPr="00365A5F" w:rsidRDefault="000A35E5" w:rsidP="00AF4CBC">
      <w:pPr>
        <w:spacing w:line="276" w:lineRule="auto"/>
        <w:ind w:right="454"/>
      </w:pPr>
      <w:r w:rsidRPr="00365A5F">
        <w:t>In many cases this resulted in the choice to offer funding for some, rather than all, requested instances of a particular subject (</w:t>
      </w:r>
      <w:proofErr w:type="gramStart"/>
      <w:r w:rsidRPr="00365A5F">
        <w:t>i.e.</w:t>
      </w:r>
      <w:proofErr w:type="gramEnd"/>
      <w:r w:rsidRPr="00365A5F">
        <w:t xml:space="preserve"> to offer funding for 5 instances of a course rather than the 10 requested) in order to be able to offer some funding to a different course or one aimed at a different client group or in a different geographical area. </w:t>
      </w:r>
    </w:p>
    <w:p w14:paraId="4CBCF9B1" w14:textId="77777777" w:rsidR="000A35E5" w:rsidRPr="00365A5F" w:rsidRDefault="000A35E5" w:rsidP="00AF4CBC">
      <w:pPr>
        <w:spacing w:line="276" w:lineRule="auto"/>
        <w:ind w:right="454"/>
      </w:pPr>
      <w:r w:rsidRPr="00365A5F">
        <w:t xml:space="preserve">In </w:t>
      </w:r>
      <w:r w:rsidR="00AF4CBC" w:rsidRPr="00365A5F">
        <w:t>some</w:t>
      </w:r>
      <w:r w:rsidRPr="00365A5F">
        <w:t xml:space="preserve"> </w:t>
      </w:r>
      <w:proofErr w:type="gramStart"/>
      <w:r w:rsidRPr="00365A5F">
        <w:t>cases</w:t>
      </w:r>
      <w:proofErr w:type="gramEnd"/>
      <w:r w:rsidRPr="00365A5F">
        <w:t xml:space="preserve"> an overall funding allocation was agreed and, where all the courses proposed were judged to be of equal merit, the Adult Education Service work</w:t>
      </w:r>
      <w:r w:rsidR="00091D6C" w:rsidRPr="00365A5F">
        <w:t>ed</w:t>
      </w:r>
      <w:r w:rsidRPr="00365A5F">
        <w:t xml:space="preserve"> with the service provider to agree a balanced delivery programme.</w:t>
      </w:r>
    </w:p>
    <w:p w14:paraId="08C3E939" w14:textId="77777777" w:rsidR="000A35E5" w:rsidRPr="00365A5F" w:rsidRDefault="000A35E5" w:rsidP="00AF4CBC">
      <w:pPr>
        <w:spacing w:line="276" w:lineRule="auto"/>
        <w:ind w:left="454" w:right="454"/>
      </w:pPr>
    </w:p>
    <w:p w14:paraId="5ED6F517" w14:textId="77777777" w:rsidR="000A35E5" w:rsidRPr="00365A5F" w:rsidRDefault="000A35E5" w:rsidP="00AF4CBC">
      <w:pPr>
        <w:spacing w:line="276" w:lineRule="auto"/>
        <w:ind w:right="454"/>
      </w:pPr>
      <w:r w:rsidRPr="00365A5F">
        <w:t>Some courses were not allocated funding because they were judged to either not meet the necessary learning element of the funding (</w:t>
      </w:r>
      <w:proofErr w:type="gramStart"/>
      <w:r w:rsidRPr="00365A5F">
        <w:t>e.g.</w:t>
      </w:r>
      <w:proofErr w:type="gramEnd"/>
      <w:r w:rsidRPr="00365A5F">
        <w:t xml:space="preserve"> appeared to be clubs where clients meet to share similar interests but are not necessarily actually learning anything new), or because they failed to meet one of the other requirements of the funding (e.g. courses that either the learner or employer should pay for or there is the potential of other available funding).</w:t>
      </w:r>
    </w:p>
    <w:p w14:paraId="778554D6" w14:textId="77777777" w:rsidR="00AF4CBC" w:rsidRPr="00365A5F" w:rsidRDefault="00AF4CBC" w:rsidP="00AF4CBC">
      <w:pPr>
        <w:spacing w:line="276" w:lineRule="auto"/>
        <w:ind w:right="454"/>
      </w:pPr>
    </w:p>
    <w:p w14:paraId="51147BA5" w14:textId="77777777" w:rsidR="00AF4CBC" w:rsidRPr="00365A5F" w:rsidRDefault="00AF4CBC" w:rsidP="00AF4CBC">
      <w:pPr>
        <w:spacing w:line="276" w:lineRule="auto"/>
        <w:ind w:right="454"/>
      </w:pPr>
    </w:p>
    <w:p w14:paraId="19D843FB" w14:textId="77777777" w:rsidR="00AF4CBC" w:rsidRPr="00365A5F" w:rsidRDefault="00AF4CBC" w:rsidP="00AF4CBC">
      <w:pPr>
        <w:spacing w:line="276" w:lineRule="auto"/>
        <w:ind w:right="454"/>
      </w:pPr>
    </w:p>
    <w:p w14:paraId="18B4C243" w14:textId="77777777" w:rsidR="00AF4CBC" w:rsidRPr="00365A5F" w:rsidRDefault="00AF4CBC" w:rsidP="00AF4CBC">
      <w:pPr>
        <w:spacing w:line="276" w:lineRule="auto"/>
        <w:ind w:right="454"/>
      </w:pPr>
    </w:p>
    <w:p w14:paraId="698D4227" w14:textId="77777777" w:rsidR="00AF4CBC" w:rsidRPr="00365A5F" w:rsidRDefault="00AF4CBC" w:rsidP="00AF4CBC">
      <w:pPr>
        <w:spacing w:line="276" w:lineRule="auto"/>
        <w:ind w:right="454"/>
      </w:pPr>
    </w:p>
    <w:p w14:paraId="6B2FCCC0" w14:textId="77777777" w:rsidR="00AF4CBC" w:rsidRPr="00365A5F" w:rsidRDefault="00AF4CBC" w:rsidP="00AF4CBC">
      <w:pPr>
        <w:spacing w:line="276" w:lineRule="auto"/>
        <w:ind w:right="454"/>
      </w:pPr>
    </w:p>
    <w:p w14:paraId="23CEC1E3" w14:textId="77777777" w:rsidR="00CA58E2" w:rsidRPr="00365A5F" w:rsidRDefault="00CA58E2" w:rsidP="00AF4CBC">
      <w:pPr>
        <w:spacing w:line="276" w:lineRule="auto"/>
        <w:ind w:right="454"/>
      </w:pPr>
    </w:p>
    <w:p w14:paraId="4DF0D6BD" w14:textId="77777777" w:rsidR="00CA58E2" w:rsidRPr="00365A5F" w:rsidRDefault="00CA58E2" w:rsidP="00AF4CBC">
      <w:pPr>
        <w:spacing w:line="276" w:lineRule="auto"/>
        <w:ind w:right="454"/>
      </w:pPr>
    </w:p>
    <w:p w14:paraId="2B6AF01F" w14:textId="77777777" w:rsidR="00AF4CBC" w:rsidRPr="00365A5F" w:rsidRDefault="00AF4CBC" w:rsidP="00AF4CBC">
      <w:pPr>
        <w:spacing w:line="276" w:lineRule="auto"/>
        <w:ind w:right="454"/>
      </w:pPr>
    </w:p>
    <w:p w14:paraId="408A9879" w14:textId="77777777" w:rsidR="00AF4CBC" w:rsidRPr="00365A5F" w:rsidRDefault="00AF4CBC" w:rsidP="00AF4CBC">
      <w:pPr>
        <w:spacing w:line="276" w:lineRule="auto"/>
        <w:ind w:right="454"/>
      </w:pPr>
    </w:p>
    <w:p w14:paraId="2008312D" w14:textId="77777777" w:rsidR="00AF4CBC" w:rsidRPr="00365A5F" w:rsidRDefault="00AF4CBC" w:rsidP="00AF4CBC">
      <w:pPr>
        <w:spacing w:line="276" w:lineRule="auto"/>
        <w:ind w:right="454"/>
      </w:pPr>
    </w:p>
    <w:p w14:paraId="75534F4E" w14:textId="77777777" w:rsidR="000A35E5" w:rsidRPr="00365A5F" w:rsidRDefault="000A35E5" w:rsidP="00AF4CBC">
      <w:pPr>
        <w:spacing w:after="120" w:line="276" w:lineRule="auto"/>
        <w:ind w:left="454" w:right="454"/>
        <w:rPr>
          <w:rFonts w:cs="Arial"/>
        </w:rPr>
      </w:pPr>
    </w:p>
    <w:p w14:paraId="181659E0" w14:textId="77777777" w:rsidR="00E940C7" w:rsidRPr="00365A5F" w:rsidRDefault="00E940C7" w:rsidP="00E940C7">
      <w:pPr>
        <w:spacing w:before="80" w:after="80" w:line="288" w:lineRule="auto"/>
        <w:rPr>
          <w:rFonts w:cs="Arial"/>
          <w:b/>
        </w:rPr>
      </w:pPr>
    </w:p>
    <w:p w14:paraId="2C82A7A4" w14:textId="32A7F3FD" w:rsidR="00E940C7" w:rsidRPr="00365A5F" w:rsidRDefault="00E940C7" w:rsidP="00E940C7">
      <w:pPr>
        <w:spacing w:before="80" w:after="80" w:line="288" w:lineRule="auto"/>
        <w:rPr>
          <w:rFonts w:cs="Arial"/>
          <w:b/>
        </w:rPr>
      </w:pPr>
      <w:r w:rsidRPr="00365A5F">
        <w:rPr>
          <w:rFonts w:cs="Arial"/>
          <w:b/>
        </w:rPr>
        <w:lastRenderedPageBreak/>
        <w:t xml:space="preserve">Funding table </w:t>
      </w:r>
      <w:r w:rsidR="00AF4CBC" w:rsidRPr="00365A5F">
        <w:rPr>
          <w:rFonts w:cs="Arial"/>
          <w:b/>
        </w:rPr>
        <w:t>202</w:t>
      </w:r>
      <w:r w:rsidR="00365A5F" w:rsidRPr="00365A5F">
        <w:rPr>
          <w:rFonts w:cs="Arial"/>
          <w:b/>
        </w:rPr>
        <w:t>1</w:t>
      </w:r>
      <w:r w:rsidR="00AF4CBC" w:rsidRPr="00365A5F">
        <w:rPr>
          <w:rFonts w:cs="Arial"/>
          <w:b/>
        </w:rPr>
        <w:t>-2</w:t>
      </w:r>
      <w:r w:rsidR="00365A5F" w:rsidRPr="00365A5F">
        <w:rPr>
          <w:rFonts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770"/>
      </w:tblGrid>
      <w:tr w:rsidR="00365A5F" w:rsidRPr="00365A5F" w14:paraId="2274322B" w14:textId="77777777" w:rsidTr="00DC03A9">
        <w:trPr>
          <w:trHeight w:val="539"/>
        </w:trPr>
        <w:tc>
          <w:tcPr>
            <w:tcW w:w="6516" w:type="dxa"/>
            <w:shd w:val="clear" w:color="auto" w:fill="auto"/>
            <w:vAlign w:val="center"/>
          </w:tcPr>
          <w:p w14:paraId="2B65FA13" w14:textId="77777777" w:rsidR="00DC03A9" w:rsidRPr="00365A5F" w:rsidRDefault="00DC03A9" w:rsidP="00DC03A9">
            <w:pPr>
              <w:spacing w:before="80" w:after="80" w:line="288" w:lineRule="auto"/>
              <w:rPr>
                <w:rFonts w:cs="Arial"/>
              </w:rPr>
            </w:pPr>
            <w:r w:rsidRPr="00365A5F">
              <w:rPr>
                <w:rFonts w:cs="Arial"/>
              </w:rPr>
              <w:t>AEB allocation – community learning</w:t>
            </w:r>
          </w:p>
        </w:tc>
        <w:tc>
          <w:tcPr>
            <w:tcW w:w="2770" w:type="dxa"/>
            <w:shd w:val="clear" w:color="auto" w:fill="auto"/>
            <w:vAlign w:val="center"/>
          </w:tcPr>
          <w:p w14:paraId="023766ED" w14:textId="77777777" w:rsidR="00DC03A9" w:rsidRPr="00042AFB" w:rsidRDefault="00DC03A9" w:rsidP="00DC03A9">
            <w:r w:rsidRPr="00042AFB">
              <w:t>£407,827</w:t>
            </w:r>
          </w:p>
        </w:tc>
      </w:tr>
      <w:tr w:rsidR="00365A5F" w:rsidRPr="00365A5F" w14:paraId="4233C340" w14:textId="77777777" w:rsidTr="00DC03A9">
        <w:trPr>
          <w:trHeight w:val="548"/>
        </w:trPr>
        <w:tc>
          <w:tcPr>
            <w:tcW w:w="6516" w:type="dxa"/>
            <w:shd w:val="clear" w:color="auto" w:fill="auto"/>
            <w:vAlign w:val="center"/>
          </w:tcPr>
          <w:p w14:paraId="5EB56B92" w14:textId="77777777" w:rsidR="00DC03A9" w:rsidRPr="00365A5F" w:rsidRDefault="00DC03A9" w:rsidP="00DC03A9">
            <w:pPr>
              <w:spacing w:before="80" w:after="80" w:line="288" w:lineRule="auto"/>
              <w:rPr>
                <w:rFonts w:cs="Arial"/>
              </w:rPr>
            </w:pPr>
            <w:r w:rsidRPr="00365A5F">
              <w:rPr>
                <w:rFonts w:cs="Arial"/>
              </w:rPr>
              <w:t>AEB allocation – adult skills</w:t>
            </w:r>
          </w:p>
        </w:tc>
        <w:tc>
          <w:tcPr>
            <w:tcW w:w="2770" w:type="dxa"/>
            <w:shd w:val="clear" w:color="auto" w:fill="auto"/>
            <w:vAlign w:val="center"/>
          </w:tcPr>
          <w:p w14:paraId="70ECA99C" w14:textId="77777777" w:rsidR="00DC03A9" w:rsidRPr="00042AFB" w:rsidRDefault="00DC03A9" w:rsidP="00DC03A9">
            <w:r w:rsidRPr="00042AFB">
              <w:t>£117,239</w:t>
            </w:r>
          </w:p>
        </w:tc>
      </w:tr>
      <w:tr w:rsidR="00365A5F" w:rsidRPr="00365A5F" w14:paraId="37F821E1" w14:textId="77777777" w:rsidTr="00EC4FA3">
        <w:trPr>
          <w:trHeight w:val="554"/>
        </w:trPr>
        <w:tc>
          <w:tcPr>
            <w:tcW w:w="6516" w:type="dxa"/>
            <w:tcBorders>
              <w:bottom w:val="single" w:sz="4" w:space="0" w:color="auto"/>
            </w:tcBorders>
            <w:shd w:val="clear" w:color="auto" w:fill="auto"/>
            <w:vAlign w:val="center"/>
          </w:tcPr>
          <w:p w14:paraId="56D65892" w14:textId="77777777" w:rsidR="00E940C7" w:rsidRPr="00365A5F" w:rsidRDefault="00E940C7" w:rsidP="00E940C7">
            <w:pPr>
              <w:spacing w:before="80" w:after="80" w:line="288" w:lineRule="auto"/>
              <w:rPr>
                <w:rFonts w:cs="Arial"/>
                <w:b/>
              </w:rPr>
            </w:pPr>
            <w:r w:rsidRPr="00365A5F">
              <w:rPr>
                <w:rFonts w:cs="Arial"/>
                <w:b/>
              </w:rPr>
              <w:t xml:space="preserve">Total AEB budget </w:t>
            </w:r>
          </w:p>
        </w:tc>
        <w:tc>
          <w:tcPr>
            <w:tcW w:w="2770" w:type="dxa"/>
            <w:tcBorders>
              <w:bottom w:val="single" w:sz="4" w:space="0" w:color="auto"/>
            </w:tcBorders>
            <w:shd w:val="clear" w:color="auto" w:fill="auto"/>
            <w:vAlign w:val="center"/>
          </w:tcPr>
          <w:p w14:paraId="7810CF93" w14:textId="77777777" w:rsidR="00E940C7" w:rsidRPr="00042AFB" w:rsidRDefault="00E940C7" w:rsidP="00DC03A9">
            <w:pPr>
              <w:spacing w:before="80" w:after="80" w:line="288" w:lineRule="auto"/>
              <w:rPr>
                <w:rFonts w:cs="Arial"/>
                <w:b/>
              </w:rPr>
            </w:pPr>
            <w:r w:rsidRPr="00042AFB">
              <w:rPr>
                <w:rFonts w:cs="Arial"/>
                <w:b/>
              </w:rPr>
              <w:t>£</w:t>
            </w:r>
            <w:r w:rsidR="00DC03A9" w:rsidRPr="00042AFB">
              <w:rPr>
                <w:rFonts w:cs="Arial"/>
                <w:b/>
              </w:rPr>
              <w:t>525, 066</w:t>
            </w:r>
          </w:p>
        </w:tc>
      </w:tr>
      <w:tr w:rsidR="006261A4" w:rsidRPr="006261A4" w14:paraId="1B777F9C" w14:textId="77777777" w:rsidTr="00EC4FA3">
        <w:tc>
          <w:tcPr>
            <w:tcW w:w="6516" w:type="dxa"/>
            <w:tcBorders>
              <w:left w:val="nil"/>
              <w:right w:val="nil"/>
            </w:tcBorders>
            <w:shd w:val="clear" w:color="auto" w:fill="auto"/>
            <w:vAlign w:val="center"/>
          </w:tcPr>
          <w:p w14:paraId="453888BC" w14:textId="77777777" w:rsidR="00E940C7" w:rsidRPr="006261A4" w:rsidRDefault="00E940C7" w:rsidP="00E940C7">
            <w:pPr>
              <w:spacing w:before="80" w:after="80" w:line="288" w:lineRule="auto"/>
              <w:rPr>
                <w:rFonts w:cs="Arial"/>
                <w:color w:val="FF0000"/>
              </w:rPr>
            </w:pPr>
          </w:p>
        </w:tc>
        <w:tc>
          <w:tcPr>
            <w:tcW w:w="2770" w:type="dxa"/>
            <w:tcBorders>
              <w:left w:val="nil"/>
              <w:right w:val="nil"/>
            </w:tcBorders>
            <w:shd w:val="clear" w:color="auto" w:fill="auto"/>
            <w:vAlign w:val="center"/>
          </w:tcPr>
          <w:p w14:paraId="24E25F87" w14:textId="77777777" w:rsidR="00E940C7" w:rsidRPr="006261A4" w:rsidRDefault="00E940C7" w:rsidP="00E940C7">
            <w:pPr>
              <w:spacing w:before="80" w:after="80" w:line="288" w:lineRule="auto"/>
              <w:rPr>
                <w:rFonts w:cs="Arial"/>
                <w:color w:val="FF0000"/>
              </w:rPr>
            </w:pPr>
          </w:p>
        </w:tc>
      </w:tr>
      <w:tr w:rsidR="006261A4" w:rsidRPr="006261A4" w14:paraId="68DC4151" w14:textId="77777777" w:rsidTr="00EC4FA3">
        <w:trPr>
          <w:trHeight w:val="454"/>
        </w:trPr>
        <w:tc>
          <w:tcPr>
            <w:tcW w:w="6516" w:type="dxa"/>
            <w:shd w:val="clear" w:color="auto" w:fill="auto"/>
            <w:vAlign w:val="center"/>
          </w:tcPr>
          <w:p w14:paraId="526734AD" w14:textId="77777777" w:rsidR="00E940C7" w:rsidRPr="00365A5F" w:rsidRDefault="00E940C7" w:rsidP="00E940C7">
            <w:pPr>
              <w:spacing w:before="80" w:after="80" w:line="288" w:lineRule="auto"/>
              <w:rPr>
                <w:rFonts w:cs="Arial"/>
              </w:rPr>
            </w:pPr>
            <w:r w:rsidRPr="00365A5F">
              <w:rPr>
                <w:rFonts w:cs="Arial"/>
              </w:rPr>
              <w:t>Funding subcontracted (external delivery)</w:t>
            </w:r>
          </w:p>
        </w:tc>
        <w:tc>
          <w:tcPr>
            <w:tcW w:w="2770" w:type="dxa"/>
            <w:shd w:val="clear" w:color="auto" w:fill="auto"/>
            <w:vAlign w:val="center"/>
          </w:tcPr>
          <w:p w14:paraId="5C5CA2BE" w14:textId="02B13CBC" w:rsidR="00E940C7" w:rsidRPr="00042AFB" w:rsidRDefault="00E940C7" w:rsidP="00DC0539">
            <w:pPr>
              <w:spacing w:before="80" w:after="80" w:line="288" w:lineRule="auto"/>
              <w:rPr>
                <w:rFonts w:cs="Arial"/>
              </w:rPr>
            </w:pPr>
            <w:r w:rsidRPr="00042AFB">
              <w:rPr>
                <w:rFonts w:cs="Arial"/>
              </w:rPr>
              <w:t>£</w:t>
            </w:r>
            <w:r w:rsidR="00042AFB" w:rsidRPr="00042AFB">
              <w:rPr>
                <w:rFonts w:cs="Arial"/>
              </w:rPr>
              <w:t>315,121</w:t>
            </w:r>
            <w:r w:rsidRPr="00042AFB">
              <w:rPr>
                <w:rFonts w:cs="Arial"/>
              </w:rPr>
              <w:t xml:space="preserve"> (</w:t>
            </w:r>
            <w:r w:rsidR="00042AFB" w:rsidRPr="00042AFB">
              <w:rPr>
                <w:rFonts w:cs="Arial"/>
              </w:rPr>
              <w:t>79</w:t>
            </w:r>
            <w:r w:rsidR="00DC0539" w:rsidRPr="00042AFB">
              <w:rPr>
                <w:rFonts w:cs="Arial"/>
              </w:rPr>
              <w:t>%</w:t>
            </w:r>
            <w:r w:rsidRPr="00042AFB">
              <w:rPr>
                <w:rFonts w:cs="Arial"/>
              </w:rPr>
              <w:t>)</w:t>
            </w:r>
          </w:p>
        </w:tc>
      </w:tr>
      <w:tr w:rsidR="006261A4" w:rsidRPr="006261A4" w14:paraId="400F4B46" w14:textId="77777777" w:rsidTr="00EC4FA3">
        <w:trPr>
          <w:trHeight w:val="454"/>
        </w:trPr>
        <w:tc>
          <w:tcPr>
            <w:tcW w:w="6516" w:type="dxa"/>
            <w:shd w:val="clear" w:color="auto" w:fill="auto"/>
            <w:vAlign w:val="center"/>
          </w:tcPr>
          <w:p w14:paraId="64C2A8A6" w14:textId="77777777" w:rsidR="00E940C7" w:rsidRPr="00365A5F" w:rsidRDefault="00E940C7" w:rsidP="00E940C7">
            <w:pPr>
              <w:spacing w:before="80" w:after="80" w:line="288" w:lineRule="auto"/>
              <w:rPr>
                <w:rFonts w:cs="Arial"/>
              </w:rPr>
            </w:pPr>
            <w:r w:rsidRPr="00365A5F">
              <w:rPr>
                <w:rFonts w:cs="Arial"/>
              </w:rPr>
              <w:t>Funding retained (internal delivery)</w:t>
            </w:r>
          </w:p>
        </w:tc>
        <w:tc>
          <w:tcPr>
            <w:tcW w:w="2770" w:type="dxa"/>
            <w:shd w:val="clear" w:color="auto" w:fill="auto"/>
            <w:vAlign w:val="center"/>
          </w:tcPr>
          <w:p w14:paraId="1ACCDB8C" w14:textId="5DA8B7D3" w:rsidR="00E940C7" w:rsidRPr="00042AFB" w:rsidRDefault="00E940C7" w:rsidP="00DC0539">
            <w:pPr>
              <w:spacing w:before="80" w:after="80" w:line="288" w:lineRule="auto"/>
              <w:rPr>
                <w:rFonts w:cs="Arial"/>
              </w:rPr>
            </w:pPr>
            <w:r w:rsidRPr="00042AFB">
              <w:rPr>
                <w:rFonts w:cs="Arial"/>
              </w:rPr>
              <w:t>£</w:t>
            </w:r>
            <w:r w:rsidR="00042AFB" w:rsidRPr="00042AFB">
              <w:rPr>
                <w:rFonts w:cs="Arial"/>
              </w:rPr>
              <w:t>81,491</w:t>
            </w:r>
            <w:r w:rsidRPr="00042AFB">
              <w:rPr>
                <w:rFonts w:cs="Arial"/>
              </w:rPr>
              <w:t xml:space="preserve"> (</w:t>
            </w:r>
            <w:r w:rsidR="00042AFB" w:rsidRPr="00042AFB">
              <w:rPr>
                <w:rFonts w:cs="Arial"/>
              </w:rPr>
              <w:t>21</w:t>
            </w:r>
            <w:r w:rsidRPr="00042AFB">
              <w:rPr>
                <w:rFonts w:cs="Arial"/>
              </w:rPr>
              <w:t>%)</w:t>
            </w:r>
          </w:p>
        </w:tc>
      </w:tr>
      <w:tr w:rsidR="006261A4" w:rsidRPr="006261A4" w14:paraId="79B8E3FE" w14:textId="77777777" w:rsidTr="00EC4FA3">
        <w:trPr>
          <w:trHeight w:val="454"/>
        </w:trPr>
        <w:tc>
          <w:tcPr>
            <w:tcW w:w="6516" w:type="dxa"/>
            <w:shd w:val="clear" w:color="auto" w:fill="auto"/>
            <w:vAlign w:val="center"/>
          </w:tcPr>
          <w:p w14:paraId="25C785DD" w14:textId="77777777" w:rsidR="00E940C7" w:rsidRPr="00365A5F" w:rsidRDefault="00E940C7" w:rsidP="00E940C7">
            <w:pPr>
              <w:spacing w:before="80" w:after="80" w:line="288" w:lineRule="auto"/>
              <w:rPr>
                <w:rFonts w:cs="Arial"/>
                <w:b/>
              </w:rPr>
            </w:pPr>
            <w:r w:rsidRPr="00365A5F">
              <w:rPr>
                <w:rFonts w:cs="Arial"/>
                <w:b/>
              </w:rPr>
              <w:t xml:space="preserve">Total funding allocated for delivery </w:t>
            </w:r>
          </w:p>
        </w:tc>
        <w:tc>
          <w:tcPr>
            <w:tcW w:w="2770" w:type="dxa"/>
            <w:shd w:val="clear" w:color="auto" w:fill="auto"/>
            <w:vAlign w:val="center"/>
          </w:tcPr>
          <w:p w14:paraId="7267230F" w14:textId="712DF59A" w:rsidR="00E940C7" w:rsidRPr="00042AFB" w:rsidRDefault="00E940C7" w:rsidP="00DC0539">
            <w:pPr>
              <w:spacing w:before="80" w:after="80" w:line="288" w:lineRule="auto"/>
              <w:rPr>
                <w:rFonts w:cs="Arial"/>
                <w:b/>
              </w:rPr>
            </w:pPr>
            <w:r w:rsidRPr="00042AFB">
              <w:rPr>
                <w:rFonts w:cs="Arial"/>
                <w:b/>
                <w:bCs/>
              </w:rPr>
              <w:t>£</w:t>
            </w:r>
            <w:r w:rsidR="00DC0539" w:rsidRPr="00042AFB">
              <w:rPr>
                <w:rFonts w:cs="Arial"/>
                <w:b/>
                <w:bCs/>
              </w:rPr>
              <w:t>39</w:t>
            </w:r>
            <w:r w:rsidR="00042AFB" w:rsidRPr="00042AFB">
              <w:rPr>
                <w:rFonts w:cs="Arial"/>
                <w:b/>
                <w:bCs/>
              </w:rPr>
              <w:t>6,612</w:t>
            </w:r>
            <w:r w:rsidRPr="00042AFB">
              <w:rPr>
                <w:rFonts w:cs="Arial"/>
                <w:b/>
                <w:bCs/>
              </w:rPr>
              <w:t xml:space="preserve"> </w:t>
            </w:r>
            <w:r w:rsidRPr="00042AFB">
              <w:rPr>
                <w:rFonts w:cs="Arial"/>
                <w:b/>
              </w:rPr>
              <w:t>(</w:t>
            </w:r>
            <w:r w:rsidR="00556ADB" w:rsidRPr="00042AFB">
              <w:rPr>
                <w:rFonts w:cs="Arial"/>
                <w:b/>
              </w:rPr>
              <w:t>7</w:t>
            </w:r>
            <w:r w:rsidR="00042AFB" w:rsidRPr="00042AFB">
              <w:rPr>
                <w:rFonts w:cs="Arial"/>
                <w:b/>
              </w:rPr>
              <w:t>6</w:t>
            </w:r>
            <w:r w:rsidRPr="00042AFB">
              <w:rPr>
                <w:rFonts w:cs="Arial"/>
                <w:b/>
              </w:rPr>
              <w:t>%)</w:t>
            </w:r>
          </w:p>
        </w:tc>
      </w:tr>
      <w:tr w:rsidR="00DF795F" w:rsidRPr="006261A4" w14:paraId="4CDBF8EE" w14:textId="77777777" w:rsidTr="00EC4FA3">
        <w:trPr>
          <w:trHeight w:val="792"/>
        </w:trPr>
        <w:tc>
          <w:tcPr>
            <w:tcW w:w="6516" w:type="dxa"/>
            <w:shd w:val="clear" w:color="auto" w:fill="auto"/>
            <w:vAlign w:val="center"/>
          </w:tcPr>
          <w:p w14:paraId="3E606D9B" w14:textId="77777777" w:rsidR="00E940C7" w:rsidRPr="00365A5F" w:rsidRDefault="00E940C7" w:rsidP="00E940C7">
            <w:pPr>
              <w:spacing w:before="80" w:after="80" w:line="288" w:lineRule="auto"/>
              <w:rPr>
                <w:rFonts w:cs="Arial"/>
              </w:rPr>
            </w:pPr>
            <w:r w:rsidRPr="00365A5F">
              <w:rPr>
                <w:rFonts w:cs="Arial"/>
              </w:rPr>
              <w:t xml:space="preserve">Funding retained from ESFA allocation towards management of subcontracting programme </w:t>
            </w:r>
          </w:p>
        </w:tc>
        <w:tc>
          <w:tcPr>
            <w:tcW w:w="2770" w:type="dxa"/>
            <w:shd w:val="clear" w:color="auto" w:fill="auto"/>
            <w:vAlign w:val="center"/>
          </w:tcPr>
          <w:p w14:paraId="14599CAB" w14:textId="77777777" w:rsidR="00E940C7" w:rsidRPr="00042AFB" w:rsidRDefault="00BC56C2" w:rsidP="00DC0539">
            <w:pPr>
              <w:spacing w:before="80" w:after="80" w:line="288" w:lineRule="auto"/>
              <w:rPr>
                <w:rFonts w:cs="Arial"/>
              </w:rPr>
            </w:pPr>
            <w:r w:rsidRPr="00042AFB">
              <w:rPr>
                <w:rFonts w:cs="Arial"/>
              </w:rPr>
              <w:t>£104, 499 (20%)</w:t>
            </w:r>
          </w:p>
        </w:tc>
      </w:tr>
    </w:tbl>
    <w:p w14:paraId="2DE98DC4" w14:textId="77777777" w:rsidR="00E940C7" w:rsidRPr="006261A4" w:rsidRDefault="00E940C7" w:rsidP="00D203F0">
      <w:pPr>
        <w:spacing w:before="80" w:after="80" w:line="288" w:lineRule="auto"/>
        <w:rPr>
          <w:rFonts w:cs="Arial"/>
          <w:color w:val="FF0000"/>
        </w:rPr>
      </w:pPr>
    </w:p>
    <w:p w14:paraId="73F060BB" w14:textId="77777777" w:rsidR="00D203F0" w:rsidRPr="006261A4" w:rsidRDefault="00D203F0" w:rsidP="00D203F0">
      <w:pPr>
        <w:spacing w:before="80" w:after="80" w:line="288" w:lineRule="auto"/>
        <w:rPr>
          <w:rFonts w:cs="Arial"/>
          <w:b/>
          <w:color w:val="FF0000"/>
        </w:rPr>
      </w:pPr>
    </w:p>
    <w:p w14:paraId="67BBDF8A" w14:textId="77777777" w:rsidR="0052494F" w:rsidRPr="00365A5F" w:rsidRDefault="0052494F" w:rsidP="00D203F0">
      <w:pPr>
        <w:spacing w:before="80" w:after="80" w:line="288" w:lineRule="auto"/>
        <w:rPr>
          <w:rFonts w:cs="Arial"/>
          <w:b/>
        </w:rPr>
      </w:pPr>
      <w:r w:rsidRPr="00365A5F">
        <w:rPr>
          <w:rFonts w:cs="Arial"/>
          <w:b/>
        </w:rPr>
        <w:t>Management Costs</w:t>
      </w:r>
    </w:p>
    <w:p w14:paraId="2D7BA9D8" w14:textId="77777777" w:rsidR="004665BE" w:rsidRPr="00365A5F" w:rsidRDefault="004665BE" w:rsidP="00D203F0">
      <w:pPr>
        <w:spacing w:before="80" w:after="80" w:line="288" w:lineRule="auto"/>
        <w:rPr>
          <w:rFonts w:cs="Arial"/>
        </w:rPr>
      </w:pPr>
      <w:r w:rsidRPr="00365A5F">
        <w:rPr>
          <w:rFonts w:cs="Arial"/>
        </w:rPr>
        <w:t xml:space="preserve">The Adult Learning service retains 20% of the </w:t>
      </w:r>
      <w:r w:rsidR="00E940C7" w:rsidRPr="00365A5F">
        <w:rPr>
          <w:rFonts w:cs="Arial"/>
        </w:rPr>
        <w:t>Education &amp; Skills Funding Agency allocation</w:t>
      </w:r>
      <w:r w:rsidR="009D70EE" w:rsidRPr="00365A5F">
        <w:rPr>
          <w:rFonts w:cs="Arial"/>
        </w:rPr>
        <w:t xml:space="preserve"> it receives</w:t>
      </w:r>
      <w:r w:rsidRPr="00365A5F">
        <w:rPr>
          <w:rFonts w:cs="Arial"/>
        </w:rPr>
        <w:t>.  This is referred to as the management fee</w:t>
      </w:r>
      <w:r w:rsidR="00D203F0" w:rsidRPr="00365A5F">
        <w:rPr>
          <w:rFonts w:cs="Arial"/>
        </w:rPr>
        <w:t xml:space="preserve"> and </w:t>
      </w:r>
      <w:r w:rsidRPr="00365A5F">
        <w:rPr>
          <w:rFonts w:cs="Arial"/>
        </w:rPr>
        <w:t xml:space="preserve">has been arrived at by a detailed assessment of the costs involved in managing an external delivery partner.  This amount ensures that our subcontracting arrangement is a viable delivery option whilst remaining fair to the subcontracted partner.  </w:t>
      </w:r>
    </w:p>
    <w:p w14:paraId="7C2F8ED8" w14:textId="77777777" w:rsidR="004665BE" w:rsidRPr="00365A5F" w:rsidRDefault="004665BE" w:rsidP="00D203F0">
      <w:pPr>
        <w:spacing w:before="80" w:after="80" w:line="288" w:lineRule="auto"/>
        <w:contextualSpacing/>
        <w:rPr>
          <w:rFonts w:cs="Arial"/>
        </w:rPr>
      </w:pPr>
      <w:r w:rsidRPr="00365A5F">
        <w:rPr>
          <w:rFonts w:cs="Arial"/>
        </w:rPr>
        <w:t xml:space="preserve">In order to ensure the high level of quality expected by </w:t>
      </w:r>
      <w:r w:rsidR="0047304D" w:rsidRPr="00365A5F">
        <w:rPr>
          <w:rFonts w:cs="Arial"/>
        </w:rPr>
        <w:t xml:space="preserve">SCC </w:t>
      </w:r>
      <w:r w:rsidRPr="00365A5F">
        <w:rPr>
          <w:rFonts w:cs="Arial"/>
        </w:rPr>
        <w:t xml:space="preserve">and OFSTED each subcontractor will receive the same package of support as each of our direct delivery (internal) providers. As an OFSTED good provider there is clear evidence in place that this process is successful in maintaining an effective quality improvement framework and is testament to our excellent learner outcomes, </w:t>
      </w:r>
      <w:proofErr w:type="gramStart"/>
      <w:r w:rsidRPr="00365A5F">
        <w:rPr>
          <w:rFonts w:cs="Arial"/>
        </w:rPr>
        <w:t>results</w:t>
      </w:r>
      <w:proofErr w:type="gramEnd"/>
      <w:r w:rsidRPr="00365A5F">
        <w:rPr>
          <w:rFonts w:cs="Arial"/>
        </w:rPr>
        <w:t xml:space="preserve"> and experiences.</w:t>
      </w:r>
    </w:p>
    <w:p w14:paraId="4787EA55" w14:textId="77777777" w:rsidR="00D203F0" w:rsidRPr="00365A5F" w:rsidRDefault="00D203F0" w:rsidP="00D203F0">
      <w:pPr>
        <w:spacing w:before="80" w:after="80" w:line="288" w:lineRule="auto"/>
        <w:contextualSpacing/>
        <w:rPr>
          <w:rFonts w:cs="Arial"/>
        </w:rPr>
      </w:pPr>
    </w:p>
    <w:p w14:paraId="44358E14" w14:textId="77777777" w:rsidR="004665BE" w:rsidRPr="00365A5F" w:rsidRDefault="004665BE" w:rsidP="00D203F0">
      <w:pPr>
        <w:spacing w:before="80" w:after="80" w:line="288" w:lineRule="auto"/>
        <w:contextualSpacing/>
        <w:rPr>
          <w:rFonts w:cs="Arial"/>
        </w:rPr>
      </w:pPr>
      <w:r w:rsidRPr="00365A5F">
        <w:rPr>
          <w:rFonts w:cs="Arial"/>
        </w:rPr>
        <w:t xml:space="preserve">The services provided </w:t>
      </w:r>
      <w:r w:rsidR="0047304D" w:rsidRPr="00365A5F">
        <w:rPr>
          <w:rFonts w:cs="Arial"/>
        </w:rPr>
        <w:t xml:space="preserve">throughout the period of the contract </w:t>
      </w:r>
      <w:r w:rsidRPr="00365A5F">
        <w:rPr>
          <w:rFonts w:cs="Arial"/>
        </w:rPr>
        <w:t>are as follows:</w:t>
      </w:r>
    </w:p>
    <w:p w14:paraId="55986EE1" w14:textId="77777777" w:rsidR="0047304D" w:rsidRPr="00365A5F" w:rsidRDefault="0047304D" w:rsidP="00D203F0">
      <w:pPr>
        <w:spacing w:before="80" w:after="80" w:line="288" w:lineRule="auto"/>
        <w:contextualSpacing/>
        <w:rPr>
          <w:rFonts w:cs="Arial"/>
        </w:rPr>
      </w:pPr>
    </w:p>
    <w:p w14:paraId="53E290DE" w14:textId="77777777" w:rsidR="004665BE" w:rsidRPr="00365A5F" w:rsidRDefault="004665BE" w:rsidP="00D203F0">
      <w:pPr>
        <w:spacing w:before="80" w:after="80" w:line="288" w:lineRule="auto"/>
        <w:contextualSpacing/>
        <w:rPr>
          <w:rFonts w:cs="Arial"/>
        </w:rPr>
      </w:pPr>
      <w:r w:rsidRPr="00365A5F">
        <w:rPr>
          <w:rFonts w:cs="Arial"/>
          <w:b/>
        </w:rPr>
        <w:t>Contract Management</w:t>
      </w:r>
      <w:r w:rsidRPr="00365A5F">
        <w:rPr>
          <w:rFonts w:cs="Arial"/>
        </w:rPr>
        <w:t xml:space="preserve"> – </w:t>
      </w:r>
      <w:r w:rsidR="0047304D" w:rsidRPr="00365A5F">
        <w:rPr>
          <w:rFonts w:cs="Arial"/>
        </w:rPr>
        <w:t>e</w:t>
      </w:r>
      <w:r w:rsidRPr="00365A5F">
        <w:rPr>
          <w:rFonts w:cs="Arial"/>
        </w:rPr>
        <w:t>ach subcontract</w:t>
      </w:r>
      <w:r w:rsidR="0047304D" w:rsidRPr="00365A5F">
        <w:rPr>
          <w:rFonts w:cs="Arial"/>
        </w:rPr>
        <w:t>or</w:t>
      </w:r>
      <w:r w:rsidRPr="00365A5F">
        <w:rPr>
          <w:rFonts w:cs="Arial"/>
        </w:rPr>
        <w:t xml:space="preserve"> will receive </w:t>
      </w:r>
      <w:r w:rsidR="009D70EE" w:rsidRPr="00365A5F">
        <w:rPr>
          <w:rFonts w:cs="Arial"/>
        </w:rPr>
        <w:t>a</w:t>
      </w:r>
      <w:r w:rsidRPr="00365A5F">
        <w:rPr>
          <w:rFonts w:cs="Arial"/>
        </w:rPr>
        <w:t xml:space="preserve"> programme of </w:t>
      </w:r>
      <w:r w:rsidR="009D70EE" w:rsidRPr="00365A5F">
        <w:rPr>
          <w:rFonts w:cs="Arial"/>
        </w:rPr>
        <w:t xml:space="preserve">contract </w:t>
      </w:r>
      <w:r w:rsidRPr="00365A5F">
        <w:rPr>
          <w:rFonts w:cs="Arial"/>
        </w:rPr>
        <w:t>support</w:t>
      </w:r>
      <w:r w:rsidR="00D203F0" w:rsidRPr="00365A5F">
        <w:rPr>
          <w:rFonts w:cs="Arial"/>
        </w:rPr>
        <w:t xml:space="preserve">. </w:t>
      </w:r>
      <w:r w:rsidRPr="00365A5F">
        <w:rPr>
          <w:rFonts w:cs="Arial"/>
        </w:rPr>
        <w:t xml:space="preserve">20% of </w:t>
      </w:r>
      <w:r w:rsidR="0047304D" w:rsidRPr="00365A5F">
        <w:rPr>
          <w:rFonts w:cs="Arial"/>
        </w:rPr>
        <w:t xml:space="preserve">the </w:t>
      </w:r>
      <w:r w:rsidRPr="00365A5F">
        <w:rPr>
          <w:rFonts w:cs="Arial"/>
        </w:rPr>
        <w:t xml:space="preserve">management fee is </w:t>
      </w:r>
      <w:r w:rsidR="00924C61" w:rsidRPr="00365A5F">
        <w:rPr>
          <w:rFonts w:cs="Arial"/>
        </w:rPr>
        <w:t>allocated</w:t>
      </w:r>
      <w:r w:rsidRPr="00365A5F">
        <w:rPr>
          <w:rFonts w:cs="Arial"/>
        </w:rPr>
        <w:t xml:space="preserve"> for this service</w:t>
      </w:r>
      <w:r w:rsidR="00D203F0" w:rsidRPr="00365A5F">
        <w:rPr>
          <w:rFonts w:cs="Arial"/>
        </w:rPr>
        <w:t>:</w:t>
      </w:r>
    </w:p>
    <w:p w14:paraId="35DC7A67"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t>An annual planning meeting</w:t>
      </w:r>
    </w:p>
    <w:p w14:paraId="66508E84"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t xml:space="preserve">An annual </w:t>
      </w:r>
      <w:r w:rsidR="0047304D" w:rsidRPr="00365A5F">
        <w:rPr>
          <w:rFonts w:cs="Arial"/>
        </w:rPr>
        <w:t>c</w:t>
      </w:r>
      <w:r w:rsidRPr="00365A5F">
        <w:rPr>
          <w:rFonts w:cs="Arial"/>
        </w:rPr>
        <w:t xml:space="preserve">ontract </w:t>
      </w:r>
      <w:r w:rsidR="0047304D" w:rsidRPr="00365A5F">
        <w:rPr>
          <w:rFonts w:cs="Arial"/>
        </w:rPr>
        <w:t>r</w:t>
      </w:r>
      <w:r w:rsidRPr="00365A5F">
        <w:rPr>
          <w:rFonts w:cs="Arial"/>
        </w:rPr>
        <w:t>eview meeting and additional support meetings as requested or required</w:t>
      </w:r>
    </w:p>
    <w:p w14:paraId="3B785AA2" w14:textId="25709176" w:rsidR="00DB294A" w:rsidRPr="00365A5F" w:rsidRDefault="00DB294A" w:rsidP="00DB294A">
      <w:pPr>
        <w:pStyle w:val="ListParagraph"/>
        <w:numPr>
          <w:ilvl w:val="0"/>
          <w:numId w:val="10"/>
        </w:numPr>
        <w:spacing w:before="80" w:after="80" w:line="288" w:lineRule="auto"/>
        <w:ind w:left="1134" w:hanging="425"/>
        <w:rPr>
          <w:rFonts w:cs="Arial"/>
        </w:rPr>
      </w:pPr>
      <w:r w:rsidRPr="00365A5F">
        <w:rPr>
          <w:rFonts w:cs="Arial"/>
        </w:rPr>
        <w:t xml:space="preserve">A minimum of three Provider Meetings across the academic year where the provider network will come together to share good practice, raise issues or </w:t>
      </w:r>
      <w:proofErr w:type="gramStart"/>
      <w:r w:rsidRPr="00365A5F">
        <w:rPr>
          <w:rFonts w:cs="Arial"/>
        </w:rPr>
        <w:t>concerns</w:t>
      </w:r>
      <w:proofErr w:type="gramEnd"/>
      <w:r w:rsidRPr="00365A5F">
        <w:rPr>
          <w:rFonts w:cs="Arial"/>
        </w:rPr>
        <w:t xml:space="preserve"> and hear important service updates and information. These will be managed and chaired by the Service. (</w:t>
      </w:r>
      <w:r w:rsidR="00D74C64" w:rsidRPr="00365A5F">
        <w:rPr>
          <w:rFonts w:cs="Arial"/>
        </w:rPr>
        <w:t>D</w:t>
      </w:r>
      <w:r w:rsidRPr="00365A5F">
        <w:rPr>
          <w:rFonts w:cs="Arial"/>
        </w:rPr>
        <w:t>ue to Co</w:t>
      </w:r>
      <w:r w:rsidR="00D74C64" w:rsidRPr="00365A5F">
        <w:rPr>
          <w:rFonts w:cs="Arial"/>
        </w:rPr>
        <w:t>v</w:t>
      </w:r>
      <w:r w:rsidRPr="00365A5F">
        <w:rPr>
          <w:rFonts w:cs="Arial"/>
        </w:rPr>
        <w:t>id-19, these meetings may not take place or may take place virtually in 202</w:t>
      </w:r>
      <w:r w:rsidR="000B3CCF">
        <w:rPr>
          <w:rFonts w:cs="Arial"/>
        </w:rPr>
        <w:t>1</w:t>
      </w:r>
      <w:r w:rsidRPr="00365A5F">
        <w:rPr>
          <w:rFonts w:cs="Arial"/>
        </w:rPr>
        <w:t>-2</w:t>
      </w:r>
      <w:r w:rsidR="000B3CCF">
        <w:rPr>
          <w:rFonts w:cs="Arial"/>
        </w:rPr>
        <w:t>2</w:t>
      </w:r>
      <w:r w:rsidRPr="00365A5F">
        <w:rPr>
          <w:rFonts w:cs="Arial"/>
        </w:rPr>
        <w:t>).</w:t>
      </w:r>
    </w:p>
    <w:p w14:paraId="1339DC49"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t xml:space="preserve">Confirmation of </w:t>
      </w:r>
      <w:r w:rsidR="0047304D" w:rsidRPr="00365A5F">
        <w:rPr>
          <w:rFonts w:cs="Arial"/>
        </w:rPr>
        <w:t>a</w:t>
      </w:r>
      <w:r w:rsidRPr="00365A5F">
        <w:rPr>
          <w:rFonts w:cs="Arial"/>
        </w:rPr>
        <w:t>llocation and payment process</w:t>
      </w:r>
    </w:p>
    <w:p w14:paraId="2DC4916C"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t>Policies and Procedures guidance including Prevent and Safeguarding Support</w:t>
      </w:r>
    </w:p>
    <w:p w14:paraId="690B98D9"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lastRenderedPageBreak/>
        <w:t>Advice on Government policy</w:t>
      </w:r>
    </w:p>
    <w:p w14:paraId="7CF3BB02"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t>Full suite of course paperwork and support and training as required for tutors and managers in ensuring accurate completion</w:t>
      </w:r>
    </w:p>
    <w:p w14:paraId="2D5A376F" w14:textId="77777777" w:rsidR="004665BE" w:rsidRPr="00365A5F" w:rsidRDefault="004665BE" w:rsidP="00D203F0">
      <w:pPr>
        <w:pStyle w:val="ListParagraph"/>
        <w:numPr>
          <w:ilvl w:val="0"/>
          <w:numId w:val="10"/>
        </w:numPr>
        <w:spacing w:before="80" w:after="80" w:line="288" w:lineRule="auto"/>
        <w:ind w:left="1134" w:hanging="425"/>
        <w:rPr>
          <w:rFonts w:cs="Arial"/>
        </w:rPr>
      </w:pPr>
      <w:r w:rsidRPr="00365A5F">
        <w:rPr>
          <w:rFonts w:cs="Arial"/>
        </w:rPr>
        <w:t>Full tutor pack containing templates of all required paperwork and training, if required, on their completion</w:t>
      </w:r>
      <w:r w:rsidR="0047304D" w:rsidRPr="00365A5F">
        <w:rPr>
          <w:rFonts w:cs="Arial"/>
        </w:rPr>
        <w:t>.</w:t>
      </w:r>
      <w:r w:rsidRPr="00365A5F">
        <w:rPr>
          <w:rFonts w:cs="Arial"/>
        </w:rPr>
        <w:t xml:space="preserve"> </w:t>
      </w:r>
    </w:p>
    <w:p w14:paraId="790D72F7" w14:textId="77777777" w:rsidR="004665BE" w:rsidRPr="00365A5F" w:rsidRDefault="004665BE" w:rsidP="00D203F0">
      <w:pPr>
        <w:pStyle w:val="ListParagraph"/>
        <w:spacing w:before="80" w:after="80" w:line="288" w:lineRule="auto"/>
        <w:ind w:left="1134"/>
        <w:rPr>
          <w:rFonts w:cs="Arial"/>
        </w:rPr>
      </w:pPr>
    </w:p>
    <w:p w14:paraId="14005F2D" w14:textId="77777777" w:rsidR="004665BE" w:rsidRPr="00365A5F" w:rsidRDefault="004665BE" w:rsidP="00D203F0">
      <w:pPr>
        <w:spacing w:before="80" w:after="80" w:line="288" w:lineRule="auto"/>
        <w:contextualSpacing/>
        <w:rPr>
          <w:rFonts w:cs="Arial"/>
        </w:rPr>
      </w:pPr>
    </w:p>
    <w:p w14:paraId="6D4FF51F" w14:textId="77777777" w:rsidR="004665BE" w:rsidRPr="00365A5F" w:rsidRDefault="004665BE" w:rsidP="00D203F0">
      <w:pPr>
        <w:spacing w:before="80" w:after="80" w:line="288" w:lineRule="auto"/>
        <w:contextualSpacing/>
        <w:rPr>
          <w:rFonts w:cs="Arial"/>
        </w:rPr>
      </w:pPr>
      <w:r w:rsidRPr="00365A5F">
        <w:rPr>
          <w:rFonts w:cs="Arial"/>
          <w:b/>
        </w:rPr>
        <w:t>Financial Support</w:t>
      </w:r>
      <w:r w:rsidRPr="00365A5F">
        <w:rPr>
          <w:rFonts w:cs="Arial"/>
        </w:rPr>
        <w:t xml:space="preserve"> – </w:t>
      </w:r>
      <w:r w:rsidR="0047304D" w:rsidRPr="00365A5F">
        <w:rPr>
          <w:rFonts w:cs="Arial"/>
        </w:rPr>
        <w:t>e</w:t>
      </w:r>
      <w:r w:rsidRPr="00365A5F">
        <w:rPr>
          <w:rFonts w:cs="Arial"/>
        </w:rPr>
        <w:t xml:space="preserve">ach </w:t>
      </w:r>
      <w:r w:rsidR="0047304D" w:rsidRPr="00365A5F">
        <w:rPr>
          <w:rFonts w:cs="Arial"/>
        </w:rPr>
        <w:t xml:space="preserve">subcontractor </w:t>
      </w:r>
      <w:r w:rsidRPr="00365A5F">
        <w:rPr>
          <w:rFonts w:cs="Arial"/>
        </w:rPr>
        <w:t>will receive a financial support and payment service</w:t>
      </w:r>
      <w:r w:rsidR="0047304D" w:rsidRPr="00365A5F">
        <w:rPr>
          <w:rFonts w:cs="Arial"/>
        </w:rPr>
        <w:t xml:space="preserve">.  </w:t>
      </w:r>
      <w:r w:rsidRPr="00365A5F">
        <w:rPr>
          <w:rFonts w:cs="Arial"/>
        </w:rPr>
        <w:t xml:space="preserve">20% of </w:t>
      </w:r>
      <w:r w:rsidR="0047304D" w:rsidRPr="00365A5F">
        <w:rPr>
          <w:rFonts w:cs="Arial"/>
        </w:rPr>
        <w:t xml:space="preserve">the </w:t>
      </w:r>
      <w:r w:rsidR="00924C61" w:rsidRPr="00365A5F">
        <w:rPr>
          <w:rFonts w:cs="Arial"/>
        </w:rPr>
        <w:t xml:space="preserve">management fee is allocated </w:t>
      </w:r>
      <w:r w:rsidRPr="00365A5F">
        <w:rPr>
          <w:rFonts w:cs="Arial"/>
        </w:rPr>
        <w:t>for this service</w:t>
      </w:r>
      <w:r w:rsidR="0047304D" w:rsidRPr="00365A5F">
        <w:rPr>
          <w:rFonts w:cs="Arial"/>
        </w:rPr>
        <w:t>:</w:t>
      </w:r>
    </w:p>
    <w:p w14:paraId="2F7B93CF" w14:textId="77777777" w:rsidR="004665BE" w:rsidRPr="00365A5F" w:rsidRDefault="004665BE" w:rsidP="00D203F0">
      <w:pPr>
        <w:pStyle w:val="ListParagraph"/>
        <w:numPr>
          <w:ilvl w:val="0"/>
          <w:numId w:val="9"/>
        </w:numPr>
        <w:spacing w:before="80" w:after="80" w:line="288" w:lineRule="auto"/>
        <w:ind w:left="1134" w:hanging="425"/>
        <w:rPr>
          <w:rFonts w:cs="Arial"/>
        </w:rPr>
      </w:pPr>
      <w:r w:rsidRPr="00365A5F">
        <w:rPr>
          <w:rFonts w:cs="Arial"/>
        </w:rPr>
        <w:t>Funding will be confirmed before the start of each academic year and an individual Purchase Order Number issued to each partner</w:t>
      </w:r>
    </w:p>
    <w:p w14:paraId="32E23541" w14:textId="77777777" w:rsidR="004665BE" w:rsidRPr="00365A5F" w:rsidRDefault="004665BE" w:rsidP="00D203F0">
      <w:pPr>
        <w:pStyle w:val="ListParagraph"/>
        <w:numPr>
          <w:ilvl w:val="0"/>
          <w:numId w:val="9"/>
        </w:numPr>
        <w:spacing w:before="80" w:after="80" w:line="288" w:lineRule="auto"/>
        <w:ind w:left="1134" w:hanging="425"/>
        <w:rPr>
          <w:rFonts w:cs="Arial"/>
        </w:rPr>
      </w:pPr>
      <w:r w:rsidRPr="00365A5F">
        <w:rPr>
          <w:rFonts w:cs="Arial"/>
        </w:rPr>
        <w:t>Returns of paperwork will be made monthly in order to claim funding up to 12 times per year</w:t>
      </w:r>
    </w:p>
    <w:p w14:paraId="2B21DC46" w14:textId="77777777" w:rsidR="004665BE" w:rsidRPr="00365A5F" w:rsidRDefault="004665BE" w:rsidP="00D203F0">
      <w:pPr>
        <w:pStyle w:val="ListParagraph"/>
        <w:numPr>
          <w:ilvl w:val="0"/>
          <w:numId w:val="9"/>
        </w:numPr>
        <w:spacing w:before="80" w:after="80" w:line="288" w:lineRule="auto"/>
        <w:ind w:left="1134" w:hanging="425"/>
        <w:rPr>
          <w:rFonts w:cs="Arial"/>
        </w:rPr>
      </w:pPr>
      <w:r w:rsidRPr="00365A5F">
        <w:rPr>
          <w:rFonts w:cs="Arial"/>
        </w:rPr>
        <w:t xml:space="preserve">After all paperwork has been </w:t>
      </w:r>
      <w:r w:rsidR="0047304D" w:rsidRPr="00365A5F">
        <w:rPr>
          <w:rFonts w:cs="Arial"/>
        </w:rPr>
        <w:t>processed</w:t>
      </w:r>
      <w:r w:rsidRPr="00365A5F">
        <w:rPr>
          <w:rFonts w:cs="Arial"/>
        </w:rPr>
        <w:t xml:space="preserve">, </w:t>
      </w:r>
      <w:r w:rsidR="0047304D" w:rsidRPr="00365A5F">
        <w:rPr>
          <w:rFonts w:cs="Arial"/>
        </w:rPr>
        <w:t xml:space="preserve">subcontractors </w:t>
      </w:r>
      <w:r w:rsidRPr="00365A5F">
        <w:rPr>
          <w:rFonts w:cs="Arial"/>
        </w:rPr>
        <w:t xml:space="preserve">will be informed of </w:t>
      </w:r>
      <w:r w:rsidR="0047304D" w:rsidRPr="00365A5F">
        <w:rPr>
          <w:rFonts w:cs="Arial"/>
        </w:rPr>
        <w:t xml:space="preserve">the invoice </w:t>
      </w:r>
      <w:r w:rsidRPr="00365A5F">
        <w:rPr>
          <w:rFonts w:cs="Arial"/>
        </w:rPr>
        <w:t xml:space="preserve">amount </w:t>
      </w:r>
    </w:p>
    <w:p w14:paraId="4D0C4537" w14:textId="77777777" w:rsidR="004665BE" w:rsidRPr="00365A5F" w:rsidRDefault="004665BE" w:rsidP="00D203F0">
      <w:pPr>
        <w:pStyle w:val="ListParagraph"/>
        <w:numPr>
          <w:ilvl w:val="0"/>
          <w:numId w:val="9"/>
        </w:numPr>
        <w:spacing w:before="80" w:after="80" w:line="288" w:lineRule="auto"/>
        <w:ind w:left="1134" w:hanging="425"/>
        <w:rPr>
          <w:rFonts w:cs="Arial"/>
        </w:rPr>
      </w:pPr>
      <w:r w:rsidRPr="00365A5F">
        <w:rPr>
          <w:rFonts w:cs="Arial"/>
        </w:rPr>
        <w:t xml:space="preserve">Electronic invoices must be sent to </w:t>
      </w:r>
      <w:hyperlink r:id="rId8" w:history="1">
        <w:r w:rsidRPr="00365A5F">
          <w:rPr>
            <w:rStyle w:val="Hyperlink"/>
            <w:rFonts w:cs="Arial"/>
            <w:color w:val="auto"/>
          </w:rPr>
          <w:t>invoices.only@southampton.gov.uk</w:t>
        </w:r>
      </w:hyperlink>
      <w:r w:rsidRPr="00365A5F">
        <w:rPr>
          <w:rFonts w:cs="Arial"/>
        </w:rPr>
        <w:t xml:space="preserve"> Payment will be issued by BACS 30 days after receipt of invoice</w:t>
      </w:r>
    </w:p>
    <w:p w14:paraId="6AC83C60" w14:textId="77777777" w:rsidR="004665BE" w:rsidRPr="00365A5F" w:rsidRDefault="004665BE" w:rsidP="00D203F0">
      <w:pPr>
        <w:pStyle w:val="ListParagraph"/>
        <w:numPr>
          <w:ilvl w:val="0"/>
          <w:numId w:val="9"/>
        </w:numPr>
        <w:spacing w:before="80" w:after="80" w:line="288" w:lineRule="auto"/>
        <w:ind w:left="1134" w:hanging="425"/>
        <w:rPr>
          <w:rFonts w:cs="Arial"/>
        </w:rPr>
      </w:pPr>
      <w:r w:rsidRPr="00365A5F">
        <w:rPr>
          <w:rFonts w:cs="Arial"/>
        </w:rPr>
        <w:t xml:space="preserve">Specific financial advice will be provided in relation to </w:t>
      </w:r>
      <w:r w:rsidR="0047304D" w:rsidRPr="00365A5F">
        <w:rPr>
          <w:rFonts w:cs="Arial"/>
        </w:rPr>
        <w:t xml:space="preserve">SCC </w:t>
      </w:r>
      <w:r w:rsidRPr="00365A5F">
        <w:rPr>
          <w:rFonts w:cs="Arial"/>
        </w:rPr>
        <w:t xml:space="preserve">processes, </w:t>
      </w:r>
      <w:r w:rsidR="0047304D" w:rsidRPr="00365A5F">
        <w:rPr>
          <w:rFonts w:cs="Arial"/>
        </w:rPr>
        <w:t xml:space="preserve">AEB </w:t>
      </w:r>
      <w:r w:rsidRPr="00365A5F">
        <w:rPr>
          <w:rFonts w:cs="Arial"/>
        </w:rPr>
        <w:t>funding rules and other ESFA finance policy</w:t>
      </w:r>
    </w:p>
    <w:p w14:paraId="1EC11036" w14:textId="77777777" w:rsidR="004665BE" w:rsidRPr="00365A5F" w:rsidRDefault="004665BE" w:rsidP="00D203F0">
      <w:pPr>
        <w:pStyle w:val="ListParagraph"/>
        <w:numPr>
          <w:ilvl w:val="0"/>
          <w:numId w:val="9"/>
        </w:numPr>
        <w:spacing w:before="80" w:after="80" w:line="288" w:lineRule="auto"/>
        <w:ind w:left="1134" w:hanging="425"/>
        <w:rPr>
          <w:rFonts w:cs="Arial"/>
        </w:rPr>
      </w:pPr>
      <w:r w:rsidRPr="00365A5F">
        <w:rPr>
          <w:rFonts w:cs="Arial"/>
        </w:rPr>
        <w:t>Additional financial support for learner support is available on a case by case basis as determined by the needs of the learner</w:t>
      </w:r>
      <w:r w:rsidR="0047304D" w:rsidRPr="00365A5F">
        <w:rPr>
          <w:rFonts w:cs="Arial"/>
        </w:rPr>
        <w:t>.</w:t>
      </w:r>
    </w:p>
    <w:p w14:paraId="6F97994B" w14:textId="77777777" w:rsidR="004665BE" w:rsidRPr="00365A5F" w:rsidRDefault="004665BE" w:rsidP="00D203F0">
      <w:pPr>
        <w:spacing w:before="80" w:after="80" w:line="288" w:lineRule="auto"/>
        <w:contextualSpacing/>
        <w:rPr>
          <w:rFonts w:cs="Arial"/>
        </w:rPr>
      </w:pPr>
    </w:p>
    <w:p w14:paraId="25E0BC7F" w14:textId="77777777" w:rsidR="004665BE" w:rsidRPr="00365A5F" w:rsidRDefault="004665BE" w:rsidP="00D203F0">
      <w:pPr>
        <w:spacing w:before="80" w:after="80" w:line="288" w:lineRule="auto"/>
        <w:ind w:left="284"/>
        <w:contextualSpacing/>
        <w:rPr>
          <w:rFonts w:cs="Arial"/>
        </w:rPr>
      </w:pPr>
      <w:r w:rsidRPr="00365A5F">
        <w:rPr>
          <w:rFonts w:cs="Arial"/>
          <w:b/>
        </w:rPr>
        <w:t>Support for Quality of Teaching, Learning &amp; Assessment</w:t>
      </w:r>
      <w:r w:rsidRPr="00365A5F">
        <w:rPr>
          <w:rFonts w:cs="Arial"/>
        </w:rPr>
        <w:t xml:space="preserve">– </w:t>
      </w:r>
      <w:r w:rsidR="0047304D" w:rsidRPr="00365A5F">
        <w:rPr>
          <w:rFonts w:cs="Arial"/>
        </w:rPr>
        <w:t xml:space="preserve">each subcontractor </w:t>
      </w:r>
      <w:r w:rsidRPr="00365A5F">
        <w:rPr>
          <w:rFonts w:cs="Arial"/>
        </w:rPr>
        <w:t xml:space="preserve">will receive quality support through the OTLA and </w:t>
      </w:r>
      <w:r w:rsidR="0047304D" w:rsidRPr="00365A5F">
        <w:rPr>
          <w:rFonts w:cs="Arial"/>
        </w:rPr>
        <w:t>t</w:t>
      </w:r>
      <w:r w:rsidRPr="00365A5F">
        <w:rPr>
          <w:rFonts w:cs="Arial"/>
        </w:rPr>
        <w:t xml:space="preserve">utor </w:t>
      </w:r>
      <w:r w:rsidR="0047304D" w:rsidRPr="00365A5F">
        <w:rPr>
          <w:rFonts w:cs="Arial"/>
        </w:rPr>
        <w:t>s</w:t>
      </w:r>
      <w:r w:rsidRPr="00365A5F">
        <w:rPr>
          <w:rFonts w:cs="Arial"/>
        </w:rPr>
        <w:t>upport processes</w:t>
      </w:r>
      <w:r w:rsidR="0047304D" w:rsidRPr="00365A5F">
        <w:rPr>
          <w:rFonts w:cs="Arial"/>
        </w:rPr>
        <w:t xml:space="preserve">. </w:t>
      </w:r>
      <w:r w:rsidRPr="00365A5F">
        <w:rPr>
          <w:rFonts w:cs="Arial"/>
        </w:rPr>
        <w:t xml:space="preserve">20% of </w:t>
      </w:r>
      <w:r w:rsidR="0047304D" w:rsidRPr="00365A5F">
        <w:rPr>
          <w:rFonts w:cs="Arial"/>
        </w:rPr>
        <w:t xml:space="preserve">the </w:t>
      </w:r>
      <w:r w:rsidRPr="00365A5F">
        <w:rPr>
          <w:rFonts w:cs="Arial"/>
        </w:rPr>
        <w:t xml:space="preserve">management fee is </w:t>
      </w:r>
      <w:r w:rsidR="00924C61" w:rsidRPr="00365A5F">
        <w:rPr>
          <w:rFonts w:cs="Arial"/>
        </w:rPr>
        <w:t>allocated</w:t>
      </w:r>
      <w:r w:rsidRPr="00365A5F">
        <w:rPr>
          <w:rFonts w:cs="Arial"/>
        </w:rPr>
        <w:t xml:space="preserve"> for this service:</w:t>
      </w:r>
    </w:p>
    <w:p w14:paraId="39AC1D7E" w14:textId="77777777" w:rsidR="000831FE" w:rsidRPr="00365A5F" w:rsidRDefault="000831FE" w:rsidP="00D203F0">
      <w:pPr>
        <w:pStyle w:val="ListParagraph"/>
        <w:numPr>
          <w:ilvl w:val="0"/>
          <w:numId w:val="8"/>
        </w:numPr>
        <w:spacing w:before="80" w:after="80" w:line="288" w:lineRule="auto"/>
        <w:ind w:left="1134" w:hanging="425"/>
        <w:rPr>
          <w:rFonts w:cs="Arial"/>
        </w:rPr>
      </w:pPr>
      <w:r w:rsidRPr="00365A5F">
        <w:rPr>
          <w:rFonts w:cs="Arial"/>
        </w:rPr>
        <w:t>Whilst Covid-19 restrictions remain, observations and support will be through a mixture of desktop review, telephone conversation and Zoom (or equivalent) activity.</w:t>
      </w:r>
    </w:p>
    <w:p w14:paraId="1AF43DF2" w14:textId="77777777" w:rsidR="004665BE" w:rsidRPr="00365A5F" w:rsidRDefault="004665BE" w:rsidP="00D203F0">
      <w:pPr>
        <w:pStyle w:val="ListParagraph"/>
        <w:numPr>
          <w:ilvl w:val="0"/>
          <w:numId w:val="8"/>
        </w:numPr>
        <w:spacing w:before="80" w:after="80" w:line="288" w:lineRule="auto"/>
        <w:ind w:left="1134" w:hanging="425"/>
        <w:rPr>
          <w:rFonts w:cs="Arial"/>
        </w:rPr>
      </w:pPr>
      <w:r w:rsidRPr="00365A5F">
        <w:rPr>
          <w:rFonts w:cs="Arial"/>
        </w:rPr>
        <w:t>All tutors delivering the service’s programmes will be observed annually with follow-up learning walks and/or professional conversations to capture the impact of any identified actions</w:t>
      </w:r>
      <w:r w:rsidR="000831FE" w:rsidRPr="00365A5F">
        <w:rPr>
          <w:rFonts w:cs="Arial"/>
        </w:rPr>
        <w:t xml:space="preserve">.  </w:t>
      </w:r>
    </w:p>
    <w:p w14:paraId="26F93838" w14:textId="77777777" w:rsidR="004665BE" w:rsidRPr="00365A5F" w:rsidRDefault="004665BE" w:rsidP="00D203F0">
      <w:pPr>
        <w:pStyle w:val="ListParagraph"/>
        <w:numPr>
          <w:ilvl w:val="0"/>
          <w:numId w:val="8"/>
        </w:numPr>
        <w:spacing w:before="80" w:after="80" w:line="288" w:lineRule="auto"/>
        <w:ind w:left="1134" w:hanging="425"/>
        <w:rPr>
          <w:rFonts w:cs="Arial"/>
        </w:rPr>
      </w:pPr>
      <w:r w:rsidRPr="00365A5F">
        <w:rPr>
          <w:rFonts w:cs="Arial"/>
        </w:rPr>
        <w:t>Access to advanced practitioner</w:t>
      </w:r>
      <w:r w:rsidR="0047304D" w:rsidRPr="00365A5F">
        <w:rPr>
          <w:rFonts w:cs="Arial"/>
        </w:rPr>
        <w:t>s</w:t>
      </w:r>
      <w:r w:rsidRPr="00365A5F">
        <w:rPr>
          <w:rFonts w:cs="Arial"/>
        </w:rPr>
        <w:t xml:space="preserve"> to be able to monitor and develop action plans from observation</w:t>
      </w:r>
    </w:p>
    <w:p w14:paraId="41EE84E0" w14:textId="77777777" w:rsidR="004665BE" w:rsidRPr="00365A5F" w:rsidRDefault="004665BE" w:rsidP="00D203F0">
      <w:pPr>
        <w:pStyle w:val="ListParagraph"/>
        <w:numPr>
          <w:ilvl w:val="0"/>
          <w:numId w:val="8"/>
        </w:numPr>
        <w:spacing w:before="80" w:after="80" w:line="288" w:lineRule="auto"/>
        <w:ind w:left="1134" w:hanging="425"/>
        <w:rPr>
          <w:rFonts w:cs="Arial"/>
        </w:rPr>
      </w:pPr>
      <w:r w:rsidRPr="00365A5F">
        <w:rPr>
          <w:rFonts w:cs="Arial"/>
        </w:rPr>
        <w:t xml:space="preserve">New tutors delivering the service’s programmes will be monitored by a staff development observation, planned </w:t>
      </w:r>
      <w:proofErr w:type="gramStart"/>
      <w:r w:rsidRPr="00365A5F">
        <w:rPr>
          <w:rFonts w:cs="Arial"/>
        </w:rPr>
        <w:t>for</w:t>
      </w:r>
      <w:proofErr w:type="gramEnd"/>
      <w:r w:rsidRPr="00365A5F">
        <w:rPr>
          <w:rFonts w:cs="Arial"/>
        </w:rPr>
        <w:t xml:space="preserve"> and supported by provider managers and the lead observer</w:t>
      </w:r>
      <w:r w:rsidR="000831FE" w:rsidRPr="00365A5F">
        <w:rPr>
          <w:rFonts w:cs="Arial"/>
        </w:rPr>
        <w:t>.</w:t>
      </w:r>
    </w:p>
    <w:p w14:paraId="766C589E" w14:textId="77777777" w:rsidR="004665BE" w:rsidRPr="00365A5F" w:rsidRDefault="004665BE" w:rsidP="00D203F0">
      <w:pPr>
        <w:pStyle w:val="ListParagraph"/>
        <w:numPr>
          <w:ilvl w:val="0"/>
          <w:numId w:val="8"/>
        </w:numPr>
        <w:spacing w:before="80" w:after="80" w:line="288" w:lineRule="auto"/>
        <w:ind w:left="1134" w:hanging="425"/>
        <w:rPr>
          <w:rFonts w:cs="Arial"/>
        </w:rPr>
      </w:pPr>
      <w:r w:rsidRPr="00365A5F">
        <w:rPr>
          <w:rFonts w:cs="Arial"/>
        </w:rPr>
        <w:t>Opportunity to undertake shadow and peer observations to share good practice</w:t>
      </w:r>
    </w:p>
    <w:p w14:paraId="35909E09" w14:textId="77777777" w:rsidR="004665BE" w:rsidRPr="00365A5F" w:rsidRDefault="0047304D" w:rsidP="00D203F0">
      <w:pPr>
        <w:pStyle w:val="ListParagraph"/>
        <w:numPr>
          <w:ilvl w:val="0"/>
          <w:numId w:val="8"/>
        </w:numPr>
        <w:spacing w:before="80" w:after="80" w:line="288" w:lineRule="auto"/>
        <w:ind w:left="1134" w:hanging="425"/>
        <w:rPr>
          <w:rFonts w:cs="Arial"/>
        </w:rPr>
      </w:pPr>
      <w:r w:rsidRPr="00365A5F">
        <w:rPr>
          <w:rFonts w:cs="Arial"/>
        </w:rPr>
        <w:t>Q</w:t>
      </w:r>
      <w:r w:rsidR="004665BE" w:rsidRPr="00365A5F">
        <w:rPr>
          <w:rFonts w:cs="Arial"/>
        </w:rPr>
        <w:t>uality assurance meetings and professional discussions to review curriculum implementation and impact</w:t>
      </w:r>
    </w:p>
    <w:p w14:paraId="080B83D5" w14:textId="77777777" w:rsidR="004665BE" w:rsidRPr="00365A5F" w:rsidRDefault="004665BE" w:rsidP="00D203F0">
      <w:pPr>
        <w:pStyle w:val="ListParagraph"/>
        <w:numPr>
          <w:ilvl w:val="0"/>
          <w:numId w:val="8"/>
        </w:numPr>
        <w:spacing w:before="80" w:after="80" w:line="288" w:lineRule="auto"/>
        <w:ind w:left="1134" w:hanging="425"/>
        <w:rPr>
          <w:rFonts w:cs="Arial"/>
        </w:rPr>
      </w:pPr>
      <w:r w:rsidRPr="00365A5F">
        <w:rPr>
          <w:rFonts w:cs="Arial"/>
        </w:rPr>
        <w:t xml:space="preserve">Standardisation meetings to ensure a timely, </w:t>
      </w:r>
      <w:proofErr w:type="gramStart"/>
      <w:r w:rsidRPr="00365A5F">
        <w:rPr>
          <w:rFonts w:cs="Arial"/>
        </w:rPr>
        <w:t>relevant</w:t>
      </w:r>
      <w:proofErr w:type="gramEnd"/>
      <w:r w:rsidRPr="00365A5F">
        <w:rPr>
          <w:rFonts w:cs="Arial"/>
        </w:rPr>
        <w:t xml:space="preserve"> and consistent approach across the service</w:t>
      </w:r>
    </w:p>
    <w:p w14:paraId="3CCD3D93" w14:textId="77777777" w:rsidR="004665BE" w:rsidRPr="00365A5F" w:rsidRDefault="004665BE" w:rsidP="00D203F0">
      <w:pPr>
        <w:pStyle w:val="ListParagraph"/>
        <w:numPr>
          <w:ilvl w:val="0"/>
          <w:numId w:val="8"/>
        </w:numPr>
        <w:spacing w:before="80" w:after="80" w:line="288" w:lineRule="auto"/>
        <w:ind w:left="1134" w:hanging="425"/>
        <w:rPr>
          <w:rFonts w:cs="Arial"/>
        </w:rPr>
      </w:pPr>
      <w:r w:rsidRPr="00365A5F">
        <w:rPr>
          <w:rFonts w:cs="Arial"/>
        </w:rPr>
        <w:t>One to one and small group training for provider managers and tutors in identified areas</w:t>
      </w:r>
      <w:r w:rsidR="0047304D" w:rsidRPr="00365A5F">
        <w:rPr>
          <w:rFonts w:cs="Arial"/>
        </w:rPr>
        <w:t>.</w:t>
      </w:r>
    </w:p>
    <w:p w14:paraId="28BFF6E9" w14:textId="77777777" w:rsidR="009D70EE" w:rsidRPr="00365A5F" w:rsidRDefault="009D70EE" w:rsidP="009D70EE">
      <w:pPr>
        <w:pStyle w:val="ListParagraph"/>
        <w:spacing w:before="80" w:after="80" w:line="288" w:lineRule="auto"/>
        <w:ind w:left="1134"/>
        <w:rPr>
          <w:rFonts w:cs="Arial"/>
        </w:rPr>
      </w:pPr>
    </w:p>
    <w:p w14:paraId="67701F8F" w14:textId="77777777" w:rsidR="004665BE" w:rsidRPr="00365A5F" w:rsidRDefault="004665BE" w:rsidP="00D203F0">
      <w:pPr>
        <w:spacing w:before="80" w:after="80" w:line="288" w:lineRule="auto"/>
        <w:contextualSpacing/>
        <w:rPr>
          <w:rFonts w:cs="Arial"/>
        </w:rPr>
      </w:pPr>
    </w:p>
    <w:p w14:paraId="5377A5C3" w14:textId="77777777" w:rsidR="004665BE" w:rsidRPr="00365A5F" w:rsidRDefault="004665BE" w:rsidP="00D203F0">
      <w:pPr>
        <w:spacing w:before="80" w:after="80" w:line="288" w:lineRule="auto"/>
        <w:ind w:left="284"/>
        <w:contextualSpacing/>
        <w:rPr>
          <w:rFonts w:cs="Arial"/>
        </w:rPr>
      </w:pPr>
      <w:r w:rsidRPr="00365A5F">
        <w:rPr>
          <w:rFonts w:cs="Arial"/>
          <w:b/>
        </w:rPr>
        <w:t xml:space="preserve">Data input, </w:t>
      </w:r>
      <w:proofErr w:type="gramStart"/>
      <w:r w:rsidRPr="00365A5F">
        <w:rPr>
          <w:rFonts w:cs="Arial"/>
          <w:b/>
        </w:rPr>
        <w:t>monitoring</w:t>
      </w:r>
      <w:proofErr w:type="gramEnd"/>
      <w:r w:rsidRPr="00365A5F">
        <w:rPr>
          <w:rFonts w:cs="Arial"/>
          <w:b/>
        </w:rPr>
        <w:t xml:space="preserve"> and analysis support</w:t>
      </w:r>
      <w:r w:rsidRPr="00365A5F">
        <w:rPr>
          <w:rFonts w:cs="Arial"/>
        </w:rPr>
        <w:t xml:space="preserve"> – </w:t>
      </w:r>
      <w:r w:rsidR="0047304D" w:rsidRPr="00365A5F">
        <w:rPr>
          <w:rFonts w:cs="Arial"/>
        </w:rPr>
        <w:t xml:space="preserve">each subcontractor </w:t>
      </w:r>
      <w:r w:rsidRPr="00365A5F">
        <w:rPr>
          <w:rFonts w:cs="Arial"/>
        </w:rPr>
        <w:t xml:space="preserve">will receive support </w:t>
      </w:r>
      <w:r w:rsidR="0047304D" w:rsidRPr="00365A5F">
        <w:rPr>
          <w:rFonts w:cs="Arial"/>
        </w:rPr>
        <w:t xml:space="preserve">for </w:t>
      </w:r>
      <w:r w:rsidRPr="00365A5F">
        <w:rPr>
          <w:rFonts w:cs="Arial"/>
        </w:rPr>
        <w:t xml:space="preserve">both data entry and </w:t>
      </w:r>
      <w:r w:rsidR="0047304D" w:rsidRPr="00365A5F">
        <w:rPr>
          <w:rFonts w:cs="Arial"/>
        </w:rPr>
        <w:t xml:space="preserve">data </w:t>
      </w:r>
      <w:r w:rsidRPr="00365A5F">
        <w:rPr>
          <w:rFonts w:cs="Arial"/>
        </w:rPr>
        <w:t>analysis</w:t>
      </w:r>
      <w:r w:rsidR="0047304D" w:rsidRPr="00365A5F">
        <w:rPr>
          <w:rFonts w:cs="Arial"/>
        </w:rPr>
        <w:t xml:space="preserve">.  </w:t>
      </w:r>
      <w:r w:rsidRPr="00365A5F">
        <w:rPr>
          <w:rFonts w:cs="Arial"/>
        </w:rPr>
        <w:t xml:space="preserve">20% of </w:t>
      </w:r>
      <w:r w:rsidR="0047304D" w:rsidRPr="00365A5F">
        <w:rPr>
          <w:rFonts w:cs="Arial"/>
        </w:rPr>
        <w:t xml:space="preserve">the </w:t>
      </w:r>
      <w:r w:rsidRPr="00365A5F">
        <w:rPr>
          <w:rFonts w:cs="Arial"/>
        </w:rPr>
        <w:t xml:space="preserve">management fee is </w:t>
      </w:r>
      <w:r w:rsidR="00924C61" w:rsidRPr="00365A5F">
        <w:rPr>
          <w:rFonts w:cs="Arial"/>
        </w:rPr>
        <w:t>allocated</w:t>
      </w:r>
      <w:r w:rsidRPr="00365A5F">
        <w:rPr>
          <w:rFonts w:cs="Arial"/>
        </w:rPr>
        <w:t xml:space="preserve"> for this service</w:t>
      </w:r>
      <w:r w:rsidR="0047304D" w:rsidRPr="00365A5F">
        <w:rPr>
          <w:rFonts w:cs="Arial"/>
        </w:rPr>
        <w:t>:</w:t>
      </w:r>
    </w:p>
    <w:p w14:paraId="2BA7C065" w14:textId="1A6C2351" w:rsidR="000B3CCF" w:rsidRDefault="00672D5F" w:rsidP="00D203F0">
      <w:pPr>
        <w:numPr>
          <w:ilvl w:val="0"/>
          <w:numId w:val="11"/>
        </w:numPr>
        <w:spacing w:before="80" w:after="80" w:line="288" w:lineRule="auto"/>
        <w:ind w:left="1134" w:hanging="425"/>
        <w:contextualSpacing/>
        <w:jc w:val="both"/>
        <w:rPr>
          <w:rFonts w:cs="Arial"/>
        </w:rPr>
      </w:pPr>
      <w:r>
        <w:rPr>
          <w:rFonts w:cs="Arial"/>
        </w:rPr>
        <w:t>Provision of WebEnrol to enable learners to enrol directly onto courses</w:t>
      </w:r>
    </w:p>
    <w:p w14:paraId="301F0A80" w14:textId="6ED4D0A9" w:rsidR="004665BE" w:rsidRPr="00365A5F" w:rsidRDefault="004665BE" w:rsidP="00D203F0">
      <w:pPr>
        <w:numPr>
          <w:ilvl w:val="0"/>
          <w:numId w:val="11"/>
        </w:numPr>
        <w:spacing w:before="80" w:after="80" w:line="288" w:lineRule="auto"/>
        <w:ind w:left="1134" w:hanging="425"/>
        <w:contextualSpacing/>
        <w:jc w:val="both"/>
        <w:rPr>
          <w:rFonts w:cs="Arial"/>
        </w:rPr>
      </w:pPr>
      <w:r w:rsidRPr="00365A5F">
        <w:rPr>
          <w:rFonts w:cs="Arial"/>
        </w:rPr>
        <w:t>All</w:t>
      </w:r>
      <w:r w:rsidR="00672D5F">
        <w:rPr>
          <w:rFonts w:cs="Arial"/>
        </w:rPr>
        <w:t xml:space="preserve"> other</w:t>
      </w:r>
      <w:r w:rsidRPr="00365A5F">
        <w:rPr>
          <w:rFonts w:cs="Arial"/>
        </w:rPr>
        <w:t xml:space="preserve"> learner enrolment and course data will be input by the service</w:t>
      </w:r>
    </w:p>
    <w:p w14:paraId="31E2901E" w14:textId="77777777" w:rsidR="004665BE" w:rsidRPr="00365A5F" w:rsidRDefault="004665BE" w:rsidP="00D203F0">
      <w:pPr>
        <w:numPr>
          <w:ilvl w:val="0"/>
          <w:numId w:val="11"/>
        </w:numPr>
        <w:spacing w:before="80" w:after="80" w:line="288" w:lineRule="auto"/>
        <w:ind w:left="1134" w:hanging="425"/>
        <w:contextualSpacing/>
        <w:jc w:val="both"/>
        <w:rPr>
          <w:rFonts w:cs="Arial"/>
        </w:rPr>
      </w:pPr>
      <w:r w:rsidRPr="00365A5F">
        <w:rPr>
          <w:rFonts w:cs="Arial"/>
        </w:rPr>
        <w:t xml:space="preserve">Any errors or missing data will be notified to the </w:t>
      </w:r>
      <w:r w:rsidR="0047304D" w:rsidRPr="00365A5F">
        <w:rPr>
          <w:rFonts w:cs="Arial"/>
        </w:rPr>
        <w:t xml:space="preserve">subcontractor </w:t>
      </w:r>
      <w:r w:rsidRPr="00365A5F">
        <w:rPr>
          <w:rFonts w:cs="Arial"/>
        </w:rPr>
        <w:t>for follow up</w:t>
      </w:r>
    </w:p>
    <w:p w14:paraId="5BBF8A8A" w14:textId="77777777" w:rsidR="004665BE" w:rsidRPr="00365A5F" w:rsidRDefault="004665BE" w:rsidP="00D203F0">
      <w:pPr>
        <w:numPr>
          <w:ilvl w:val="0"/>
          <w:numId w:val="11"/>
        </w:numPr>
        <w:spacing w:before="80" w:after="80" w:line="288" w:lineRule="auto"/>
        <w:ind w:left="1134" w:hanging="425"/>
        <w:contextualSpacing/>
        <w:jc w:val="both"/>
        <w:rPr>
          <w:rFonts w:cs="Arial"/>
        </w:rPr>
      </w:pPr>
      <w:r w:rsidRPr="00365A5F">
        <w:rPr>
          <w:rFonts w:cs="Arial"/>
        </w:rPr>
        <w:t xml:space="preserve">Additions and corrections will be completed by the service on the </w:t>
      </w:r>
      <w:r w:rsidR="0047304D" w:rsidRPr="00365A5F">
        <w:rPr>
          <w:rFonts w:cs="Arial"/>
        </w:rPr>
        <w:t xml:space="preserve">subcontractor’s </w:t>
      </w:r>
      <w:r w:rsidRPr="00365A5F">
        <w:rPr>
          <w:rFonts w:cs="Arial"/>
        </w:rPr>
        <w:t>behalf on receipt of correct data</w:t>
      </w:r>
    </w:p>
    <w:p w14:paraId="5E32C073" w14:textId="77777777" w:rsidR="004665BE" w:rsidRPr="00365A5F" w:rsidRDefault="004665BE" w:rsidP="00D203F0">
      <w:pPr>
        <w:numPr>
          <w:ilvl w:val="0"/>
          <w:numId w:val="11"/>
        </w:numPr>
        <w:spacing w:before="80" w:after="80" w:line="288" w:lineRule="auto"/>
        <w:ind w:left="1134" w:hanging="425"/>
        <w:contextualSpacing/>
        <w:jc w:val="both"/>
        <w:rPr>
          <w:rFonts w:cs="Arial"/>
        </w:rPr>
      </w:pPr>
      <w:r w:rsidRPr="00365A5F">
        <w:rPr>
          <w:rFonts w:cs="Arial"/>
        </w:rPr>
        <w:t>The ILR file will be created and submitted to the ESFA as required</w:t>
      </w:r>
    </w:p>
    <w:p w14:paraId="5C0DE054" w14:textId="77777777" w:rsidR="004665BE" w:rsidRPr="00365A5F" w:rsidRDefault="004665BE" w:rsidP="00D203F0">
      <w:pPr>
        <w:numPr>
          <w:ilvl w:val="0"/>
          <w:numId w:val="11"/>
        </w:numPr>
        <w:spacing w:before="80" w:after="80" w:line="288" w:lineRule="auto"/>
        <w:ind w:left="1134" w:hanging="425"/>
        <w:contextualSpacing/>
        <w:jc w:val="both"/>
        <w:rPr>
          <w:rFonts w:cs="Arial"/>
        </w:rPr>
      </w:pPr>
      <w:r w:rsidRPr="00365A5F">
        <w:rPr>
          <w:rFonts w:cs="Arial"/>
        </w:rPr>
        <w:t xml:space="preserve">All in-year data returns will be completed and submitted on the </w:t>
      </w:r>
      <w:r w:rsidR="0047304D" w:rsidRPr="00365A5F">
        <w:rPr>
          <w:rFonts w:cs="Arial"/>
        </w:rPr>
        <w:t xml:space="preserve">subcontractor’s </w:t>
      </w:r>
      <w:r w:rsidRPr="00365A5F">
        <w:rPr>
          <w:rFonts w:cs="Arial"/>
        </w:rPr>
        <w:t>behalf</w:t>
      </w:r>
    </w:p>
    <w:p w14:paraId="1B63ED94" w14:textId="77777777" w:rsidR="004665BE" w:rsidRPr="00365A5F" w:rsidRDefault="004665BE" w:rsidP="00D203F0">
      <w:pPr>
        <w:numPr>
          <w:ilvl w:val="0"/>
          <w:numId w:val="11"/>
        </w:numPr>
        <w:spacing w:before="80" w:after="80" w:line="288" w:lineRule="auto"/>
        <w:ind w:left="1134" w:hanging="425"/>
        <w:contextualSpacing/>
        <w:jc w:val="both"/>
        <w:rPr>
          <w:rFonts w:cs="Arial"/>
        </w:rPr>
      </w:pPr>
      <w:r w:rsidRPr="00365A5F">
        <w:rPr>
          <w:rFonts w:cs="Arial"/>
        </w:rPr>
        <w:t xml:space="preserve">Learner and tutor feedback will be collected and input for each </w:t>
      </w:r>
      <w:r w:rsidR="0047304D" w:rsidRPr="00365A5F">
        <w:rPr>
          <w:rFonts w:cs="Arial"/>
        </w:rPr>
        <w:t xml:space="preserve">subcontractor </w:t>
      </w:r>
      <w:r w:rsidRPr="00365A5F">
        <w:rPr>
          <w:rFonts w:cs="Arial"/>
        </w:rPr>
        <w:t>as applicable</w:t>
      </w:r>
    </w:p>
    <w:p w14:paraId="639E124B" w14:textId="77777777" w:rsidR="004665BE" w:rsidRPr="00365A5F" w:rsidRDefault="0047304D" w:rsidP="00D203F0">
      <w:pPr>
        <w:numPr>
          <w:ilvl w:val="0"/>
          <w:numId w:val="11"/>
        </w:numPr>
        <w:spacing w:before="80" w:after="80" w:line="288" w:lineRule="auto"/>
        <w:ind w:left="1134" w:hanging="425"/>
        <w:contextualSpacing/>
        <w:jc w:val="both"/>
        <w:rPr>
          <w:rFonts w:cs="Arial"/>
        </w:rPr>
      </w:pPr>
      <w:r w:rsidRPr="00365A5F">
        <w:rPr>
          <w:rFonts w:cs="Arial"/>
        </w:rPr>
        <w:t>I</w:t>
      </w:r>
      <w:r w:rsidR="004665BE" w:rsidRPr="00365A5F">
        <w:rPr>
          <w:rFonts w:cs="Arial"/>
        </w:rPr>
        <w:t xml:space="preserve">ndividual and overall service targets </w:t>
      </w:r>
      <w:r w:rsidRPr="00365A5F">
        <w:rPr>
          <w:rFonts w:cs="Arial"/>
        </w:rPr>
        <w:t xml:space="preserve">will be shared </w:t>
      </w:r>
      <w:r w:rsidR="004665BE" w:rsidRPr="00365A5F">
        <w:rPr>
          <w:rFonts w:cs="Arial"/>
        </w:rPr>
        <w:t xml:space="preserve">with </w:t>
      </w:r>
      <w:r w:rsidRPr="00365A5F">
        <w:rPr>
          <w:rFonts w:cs="Arial"/>
        </w:rPr>
        <w:t xml:space="preserve">subcontractors including </w:t>
      </w:r>
      <w:r w:rsidR="004665BE" w:rsidRPr="00365A5F">
        <w:rPr>
          <w:rFonts w:cs="Arial"/>
        </w:rPr>
        <w:t xml:space="preserve">regular analysis of delivery against target as part of the </w:t>
      </w:r>
      <w:r w:rsidRPr="00365A5F">
        <w:rPr>
          <w:rFonts w:cs="Arial"/>
        </w:rPr>
        <w:t>c</w:t>
      </w:r>
      <w:r w:rsidR="004665BE" w:rsidRPr="00365A5F">
        <w:rPr>
          <w:rFonts w:cs="Arial"/>
        </w:rPr>
        <w:t xml:space="preserve">ontract </w:t>
      </w:r>
      <w:r w:rsidRPr="00365A5F">
        <w:rPr>
          <w:rFonts w:cs="Arial"/>
        </w:rPr>
        <w:t>r</w:t>
      </w:r>
      <w:r w:rsidR="004665BE" w:rsidRPr="00365A5F">
        <w:rPr>
          <w:rFonts w:cs="Arial"/>
        </w:rPr>
        <w:t>eview process</w:t>
      </w:r>
      <w:r w:rsidRPr="00365A5F">
        <w:rPr>
          <w:rFonts w:cs="Arial"/>
        </w:rPr>
        <w:t>.</w:t>
      </w:r>
    </w:p>
    <w:p w14:paraId="4230A4AF" w14:textId="77777777" w:rsidR="004665BE" w:rsidRPr="00365A5F" w:rsidRDefault="004665BE" w:rsidP="00D203F0">
      <w:pPr>
        <w:spacing w:before="80" w:after="80" w:line="288" w:lineRule="auto"/>
        <w:contextualSpacing/>
        <w:rPr>
          <w:rFonts w:cs="Arial"/>
        </w:rPr>
      </w:pPr>
    </w:p>
    <w:p w14:paraId="5F2A9474" w14:textId="77777777" w:rsidR="004665BE" w:rsidRPr="00365A5F" w:rsidRDefault="004665BE" w:rsidP="00D203F0">
      <w:pPr>
        <w:spacing w:before="80" w:after="80" w:line="288" w:lineRule="auto"/>
        <w:ind w:left="284"/>
        <w:contextualSpacing/>
        <w:rPr>
          <w:rFonts w:cs="Arial"/>
        </w:rPr>
      </w:pPr>
      <w:r w:rsidRPr="00365A5F">
        <w:rPr>
          <w:rFonts w:cs="Arial"/>
          <w:b/>
        </w:rPr>
        <w:t>Publicity and Marketing Support</w:t>
      </w:r>
      <w:r w:rsidRPr="00365A5F">
        <w:rPr>
          <w:rFonts w:cs="Arial"/>
        </w:rPr>
        <w:t xml:space="preserve"> – </w:t>
      </w:r>
      <w:r w:rsidR="0047304D" w:rsidRPr="00365A5F">
        <w:rPr>
          <w:rFonts w:cs="Arial"/>
        </w:rPr>
        <w:t xml:space="preserve">each subcontractor </w:t>
      </w:r>
      <w:r w:rsidRPr="00365A5F">
        <w:rPr>
          <w:rFonts w:cs="Arial"/>
        </w:rPr>
        <w:t>will receive marketing and communications support</w:t>
      </w:r>
      <w:r w:rsidR="0047304D" w:rsidRPr="00365A5F">
        <w:rPr>
          <w:rFonts w:cs="Arial"/>
        </w:rPr>
        <w:t xml:space="preserve">. </w:t>
      </w:r>
      <w:r w:rsidRPr="00365A5F">
        <w:rPr>
          <w:rFonts w:cs="Arial"/>
        </w:rPr>
        <w:t xml:space="preserve">10% of </w:t>
      </w:r>
      <w:r w:rsidR="0047304D" w:rsidRPr="00365A5F">
        <w:rPr>
          <w:rFonts w:cs="Arial"/>
        </w:rPr>
        <w:t xml:space="preserve">the </w:t>
      </w:r>
      <w:r w:rsidRPr="00365A5F">
        <w:rPr>
          <w:rFonts w:cs="Arial"/>
        </w:rPr>
        <w:t xml:space="preserve">management fee is </w:t>
      </w:r>
      <w:r w:rsidR="00924C61" w:rsidRPr="00365A5F">
        <w:rPr>
          <w:rFonts w:cs="Arial"/>
        </w:rPr>
        <w:t>allocated</w:t>
      </w:r>
      <w:r w:rsidRPr="00365A5F">
        <w:rPr>
          <w:rFonts w:cs="Arial"/>
        </w:rPr>
        <w:t xml:space="preserve"> for this service</w:t>
      </w:r>
      <w:r w:rsidR="0047304D" w:rsidRPr="00365A5F">
        <w:rPr>
          <w:rFonts w:cs="Arial"/>
        </w:rPr>
        <w:t>:</w:t>
      </w:r>
    </w:p>
    <w:p w14:paraId="7F8E1FE5" w14:textId="77777777" w:rsidR="004665BE" w:rsidRPr="00365A5F" w:rsidRDefault="004665BE" w:rsidP="00A2509F">
      <w:pPr>
        <w:pStyle w:val="ListParagraph"/>
        <w:numPr>
          <w:ilvl w:val="0"/>
          <w:numId w:val="13"/>
        </w:numPr>
        <w:spacing w:before="80" w:after="80" w:line="288" w:lineRule="auto"/>
        <w:rPr>
          <w:rFonts w:cs="Arial"/>
        </w:rPr>
      </w:pPr>
      <w:r w:rsidRPr="00365A5F">
        <w:rPr>
          <w:rFonts w:cs="Arial"/>
        </w:rPr>
        <w:t>Courses advertised online via the Access Southampton Website</w:t>
      </w:r>
    </w:p>
    <w:p w14:paraId="0A6A9AC4" w14:textId="77777777" w:rsidR="004665BE" w:rsidRPr="00365A5F" w:rsidRDefault="004665BE" w:rsidP="00A2509F">
      <w:pPr>
        <w:pStyle w:val="ListParagraph"/>
        <w:numPr>
          <w:ilvl w:val="0"/>
          <w:numId w:val="13"/>
        </w:numPr>
        <w:spacing w:before="80" w:after="80" w:line="288" w:lineRule="auto"/>
        <w:rPr>
          <w:rFonts w:cs="Arial"/>
        </w:rPr>
      </w:pPr>
      <w:r w:rsidRPr="00365A5F">
        <w:rPr>
          <w:rFonts w:cs="Arial"/>
        </w:rPr>
        <w:t>Appropriate courses advertised via the National Careers Service Directory</w:t>
      </w:r>
    </w:p>
    <w:p w14:paraId="00CDC9E3" w14:textId="77777777" w:rsidR="00DB294A" w:rsidRPr="00365A5F" w:rsidRDefault="00DB294A" w:rsidP="00DB294A">
      <w:pPr>
        <w:pStyle w:val="ListParagraph"/>
        <w:numPr>
          <w:ilvl w:val="0"/>
          <w:numId w:val="13"/>
        </w:numPr>
        <w:tabs>
          <w:tab w:val="left" w:pos="1134"/>
        </w:tabs>
        <w:spacing w:before="80" w:after="80" w:line="288" w:lineRule="auto"/>
        <w:rPr>
          <w:rFonts w:cs="Arial"/>
        </w:rPr>
      </w:pPr>
      <w:r w:rsidRPr="00365A5F">
        <w:rPr>
          <w:rFonts w:cs="Arial"/>
        </w:rPr>
        <w:t>All subcontractors will be invited to take part in annual Adult Learner Celebration Event to promote and celebrate adult learning in the city. (This will be dependent on Covid-19 restrictions)</w:t>
      </w:r>
    </w:p>
    <w:p w14:paraId="71C6AACE" w14:textId="77777777" w:rsidR="004665BE" w:rsidRPr="00365A5F" w:rsidRDefault="004665BE" w:rsidP="00D203F0">
      <w:pPr>
        <w:pStyle w:val="ListParagraph"/>
        <w:spacing w:before="80" w:after="80" w:line="288" w:lineRule="auto"/>
        <w:ind w:left="1080"/>
        <w:rPr>
          <w:rFonts w:cs="Arial"/>
        </w:rPr>
      </w:pPr>
    </w:p>
    <w:p w14:paraId="6D939A85" w14:textId="77777777" w:rsidR="004665BE" w:rsidRPr="00365A5F" w:rsidRDefault="004665BE" w:rsidP="00D203F0">
      <w:pPr>
        <w:spacing w:before="80" w:after="80" w:line="288" w:lineRule="auto"/>
        <w:ind w:firstLine="284"/>
        <w:contextualSpacing/>
        <w:rPr>
          <w:rFonts w:cs="Arial"/>
          <w:b/>
        </w:rPr>
      </w:pPr>
      <w:r w:rsidRPr="00365A5F">
        <w:rPr>
          <w:rFonts w:cs="Arial"/>
          <w:b/>
        </w:rPr>
        <w:t xml:space="preserve">Additional Support </w:t>
      </w:r>
      <w:r w:rsidR="00924C61" w:rsidRPr="00365A5F">
        <w:rPr>
          <w:rFonts w:cs="Arial"/>
        </w:rPr>
        <w:t xml:space="preserve">– 10% of </w:t>
      </w:r>
      <w:r w:rsidR="00E761A4" w:rsidRPr="00365A5F">
        <w:rPr>
          <w:rFonts w:cs="Arial"/>
        </w:rPr>
        <w:t xml:space="preserve">the </w:t>
      </w:r>
      <w:r w:rsidR="00924C61" w:rsidRPr="00365A5F">
        <w:rPr>
          <w:rFonts w:cs="Arial"/>
        </w:rPr>
        <w:t>management fee is allocated</w:t>
      </w:r>
      <w:r w:rsidRPr="00365A5F">
        <w:rPr>
          <w:rFonts w:cs="Arial"/>
        </w:rPr>
        <w:t xml:space="preserve"> for this service</w:t>
      </w:r>
      <w:r w:rsidR="00A2509F" w:rsidRPr="00365A5F">
        <w:rPr>
          <w:rFonts w:cs="Arial"/>
        </w:rPr>
        <w:t>:</w:t>
      </w:r>
    </w:p>
    <w:p w14:paraId="529BC518" w14:textId="77777777" w:rsidR="004665BE" w:rsidRPr="00365A5F" w:rsidRDefault="004665BE" w:rsidP="00D203F0">
      <w:pPr>
        <w:pStyle w:val="ListParagraph"/>
        <w:numPr>
          <w:ilvl w:val="0"/>
          <w:numId w:val="6"/>
        </w:numPr>
        <w:spacing w:before="80" w:after="80" w:line="288" w:lineRule="auto"/>
        <w:ind w:hanging="371"/>
        <w:rPr>
          <w:rFonts w:cs="Arial"/>
        </w:rPr>
      </w:pPr>
      <w:r w:rsidRPr="00365A5F">
        <w:rPr>
          <w:rFonts w:cs="Arial"/>
        </w:rPr>
        <w:t>All data input and data quality control to ensure ILR and data uploads meets ESFA requirements</w:t>
      </w:r>
    </w:p>
    <w:p w14:paraId="3CE50F66" w14:textId="77777777" w:rsidR="004665BE" w:rsidRPr="00365A5F" w:rsidRDefault="004665BE" w:rsidP="00D203F0">
      <w:pPr>
        <w:pStyle w:val="ListParagraph"/>
        <w:numPr>
          <w:ilvl w:val="0"/>
          <w:numId w:val="6"/>
        </w:numPr>
        <w:spacing w:before="80" w:after="80" w:line="288" w:lineRule="auto"/>
        <w:ind w:hanging="371"/>
        <w:rPr>
          <w:rFonts w:cs="Arial"/>
        </w:rPr>
      </w:pPr>
      <w:r w:rsidRPr="00365A5F">
        <w:rPr>
          <w:rFonts w:cs="Arial"/>
        </w:rPr>
        <w:t xml:space="preserve">Support </w:t>
      </w:r>
      <w:r w:rsidR="00A2509F" w:rsidRPr="00365A5F">
        <w:rPr>
          <w:rFonts w:cs="Arial"/>
        </w:rPr>
        <w:t xml:space="preserve">from </w:t>
      </w:r>
      <w:r w:rsidRPr="00365A5F">
        <w:rPr>
          <w:rFonts w:cs="Arial"/>
        </w:rPr>
        <w:t>the Service to manage the contract and associated support to ensure all ESFA requirements are met</w:t>
      </w:r>
    </w:p>
    <w:p w14:paraId="3A8C8230" w14:textId="77777777" w:rsidR="004665BE" w:rsidRPr="00365A5F" w:rsidRDefault="004665BE" w:rsidP="00D203F0">
      <w:pPr>
        <w:pStyle w:val="ListParagraph"/>
        <w:numPr>
          <w:ilvl w:val="0"/>
          <w:numId w:val="6"/>
        </w:numPr>
        <w:spacing w:before="80" w:after="80" w:line="288" w:lineRule="auto"/>
        <w:ind w:hanging="371"/>
        <w:rPr>
          <w:rFonts w:cs="Arial"/>
        </w:rPr>
      </w:pPr>
      <w:r w:rsidRPr="00365A5F">
        <w:rPr>
          <w:rFonts w:cs="Arial"/>
        </w:rPr>
        <w:t>One to one support for teaching, management and administrative staff as requested or identified; this is particularly relevant for new subcontractors</w:t>
      </w:r>
    </w:p>
    <w:p w14:paraId="3B6B45E0" w14:textId="77777777" w:rsidR="004665BE" w:rsidRPr="00365A5F" w:rsidRDefault="004665BE" w:rsidP="00D203F0">
      <w:pPr>
        <w:pStyle w:val="ListParagraph"/>
        <w:numPr>
          <w:ilvl w:val="0"/>
          <w:numId w:val="6"/>
        </w:numPr>
        <w:spacing w:before="80" w:after="80" w:line="288" w:lineRule="auto"/>
        <w:ind w:hanging="371"/>
        <w:rPr>
          <w:rFonts w:cs="Arial"/>
        </w:rPr>
      </w:pPr>
      <w:r w:rsidRPr="00365A5F">
        <w:rPr>
          <w:rFonts w:cs="Arial"/>
        </w:rPr>
        <w:t xml:space="preserve">Support to identify strategic and funding opportunities within and outside </w:t>
      </w:r>
      <w:r w:rsidR="00A2509F" w:rsidRPr="00365A5F">
        <w:rPr>
          <w:rFonts w:cs="Arial"/>
        </w:rPr>
        <w:t>SCC</w:t>
      </w:r>
      <w:r w:rsidRPr="00365A5F">
        <w:rPr>
          <w:rFonts w:cs="Arial"/>
        </w:rPr>
        <w:t xml:space="preserve"> </w:t>
      </w:r>
    </w:p>
    <w:p w14:paraId="1D64856F" w14:textId="77777777" w:rsidR="004665BE" w:rsidRPr="00365A5F" w:rsidRDefault="004665BE" w:rsidP="00D203F0">
      <w:pPr>
        <w:pStyle w:val="ListParagraph"/>
        <w:numPr>
          <w:ilvl w:val="0"/>
          <w:numId w:val="7"/>
        </w:numPr>
        <w:spacing w:before="80" w:after="80" w:line="288" w:lineRule="auto"/>
        <w:ind w:hanging="371"/>
        <w:rPr>
          <w:rFonts w:cs="Arial"/>
        </w:rPr>
      </w:pPr>
      <w:r w:rsidRPr="00365A5F">
        <w:rPr>
          <w:rFonts w:cs="Arial"/>
        </w:rPr>
        <w:t xml:space="preserve">Delivery support is available equally to all providers. Greater support is available for new and inexperienced subcontractors, or where existing subcontractors have staff changes, as required. </w:t>
      </w:r>
    </w:p>
    <w:p w14:paraId="345FABBF" w14:textId="77777777" w:rsidR="00BC56C2" w:rsidRPr="00365A5F" w:rsidRDefault="00BC56C2" w:rsidP="00BC56C2">
      <w:pPr>
        <w:spacing w:before="80" w:after="80" w:line="288" w:lineRule="auto"/>
        <w:rPr>
          <w:rFonts w:cs="Arial"/>
        </w:rPr>
      </w:pPr>
    </w:p>
    <w:p w14:paraId="554C8F9C" w14:textId="77777777" w:rsidR="00BC56C2" w:rsidRPr="00365A5F" w:rsidRDefault="00BC56C2" w:rsidP="00BC56C2">
      <w:pPr>
        <w:spacing w:before="80" w:after="80" w:line="288" w:lineRule="auto"/>
        <w:rPr>
          <w:rFonts w:cs="Arial"/>
        </w:rPr>
      </w:pPr>
    </w:p>
    <w:p w14:paraId="752E299D" w14:textId="77777777" w:rsidR="004665BE" w:rsidRPr="00365A5F" w:rsidRDefault="004665BE" w:rsidP="00D203F0">
      <w:pPr>
        <w:spacing w:before="80" w:after="80" w:line="288" w:lineRule="auto"/>
        <w:contextualSpacing/>
        <w:rPr>
          <w:rFonts w:cs="Arial"/>
        </w:rPr>
      </w:pPr>
    </w:p>
    <w:p w14:paraId="06FF52FE" w14:textId="77777777" w:rsidR="002E5E33" w:rsidRPr="00365A5F" w:rsidRDefault="002E5E33" w:rsidP="00D203F0">
      <w:pPr>
        <w:spacing w:beforeLines="80" w:before="192" w:afterLines="80" w:after="192" w:line="288" w:lineRule="auto"/>
        <w:contextualSpacing/>
        <w:rPr>
          <w:rFonts w:eastAsiaTheme="minorHAnsi" w:cs="Arial"/>
          <w:b/>
          <w:bCs/>
          <w:lang w:eastAsia="en-US"/>
        </w:rPr>
      </w:pPr>
      <w:r w:rsidRPr="00365A5F">
        <w:rPr>
          <w:rFonts w:eastAsiaTheme="minorHAnsi" w:cs="Arial"/>
          <w:b/>
          <w:bCs/>
          <w:lang w:eastAsia="en-US"/>
        </w:rPr>
        <w:t>Payment terms and minimum learner attendance</w:t>
      </w:r>
    </w:p>
    <w:p w14:paraId="0C1F7D91" w14:textId="77777777" w:rsidR="00075E29" w:rsidRPr="00365A5F" w:rsidRDefault="00075E29" w:rsidP="00D203F0">
      <w:pPr>
        <w:spacing w:beforeLines="80" w:before="192" w:afterLines="80" w:after="192" w:line="288" w:lineRule="auto"/>
        <w:contextualSpacing/>
        <w:rPr>
          <w:rFonts w:eastAsiaTheme="minorHAnsi" w:cs="Arial"/>
          <w:b/>
          <w:bCs/>
          <w:lang w:eastAsia="en-US"/>
        </w:rPr>
      </w:pPr>
    </w:p>
    <w:p w14:paraId="35D0418C" w14:textId="31C2E63F" w:rsidR="003E109C" w:rsidRDefault="002E5E33" w:rsidP="00DB294A">
      <w:pPr>
        <w:spacing w:beforeLines="80" w:before="192" w:afterLines="80" w:after="192" w:line="288" w:lineRule="auto"/>
        <w:contextualSpacing/>
        <w:rPr>
          <w:rFonts w:eastAsiaTheme="minorHAnsi" w:cs="Arial"/>
          <w:bCs/>
          <w:lang w:eastAsia="en-US"/>
        </w:rPr>
      </w:pPr>
      <w:r w:rsidRPr="00365A5F">
        <w:rPr>
          <w:rFonts w:eastAsiaTheme="minorHAnsi" w:cs="Arial"/>
          <w:bCs/>
          <w:lang w:eastAsia="en-US"/>
        </w:rPr>
        <w:lastRenderedPageBreak/>
        <w:t>All funding is paid on a per learner basis</w:t>
      </w:r>
      <w:r w:rsidR="00053420" w:rsidRPr="00365A5F">
        <w:rPr>
          <w:rFonts w:eastAsiaTheme="minorHAnsi" w:cs="Arial"/>
          <w:bCs/>
          <w:lang w:eastAsia="en-US"/>
        </w:rPr>
        <w:t xml:space="preserve"> and only once they have reached a threshold for attendance</w:t>
      </w:r>
      <w:r w:rsidRPr="00365A5F">
        <w:rPr>
          <w:rFonts w:eastAsiaTheme="minorHAnsi" w:cs="Arial"/>
          <w:bCs/>
          <w:lang w:eastAsia="en-US"/>
        </w:rPr>
        <w:t xml:space="preserve">. </w:t>
      </w:r>
      <w:r w:rsidR="00053420" w:rsidRPr="00365A5F">
        <w:rPr>
          <w:rFonts w:eastAsiaTheme="minorHAnsi" w:cs="Arial"/>
          <w:bCs/>
          <w:lang w:eastAsia="en-US"/>
        </w:rPr>
        <w:t xml:space="preserve"> </w:t>
      </w:r>
      <w:r w:rsidR="00F157A0" w:rsidRPr="00365A5F">
        <w:rPr>
          <w:rFonts w:eastAsiaTheme="minorHAnsi" w:cs="Arial"/>
          <w:bCs/>
          <w:lang w:eastAsia="en-US"/>
        </w:rPr>
        <w:t xml:space="preserve">This has been set locally as a minimum of 40% of the planned learning hours for </w:t>
      </w:r>
      <w:r w:rsidR="00053420" w:rsidRPr="00365A5F">
        <w:rPr>
          <w:rFonts w:eastAsiaTheme="minorHAnsi" w:cs="Arial"/>
          <w:bCs/>
          <w:lang w:eastAsia="en-US"/>
        </w:rPr>
        <w:t>community learning funding</w:t>
      </w:r>
      <w:r w:rsidR="00F157A0" w:rsidRPr="00365A5F">
        <w:rPr>
          <w:rFonts w:eastAsiaTheme="minorHAnsi" w:cs="Arial"/>
          <w:bCs/>
          <w:lang w:eastAsia="en-US"/>
        </w:rPr>
        <w:t xml:space="preserve">; for adult skills funding it </w:t>
      </w:r>
      <w:r w:rsidR="00053420" w:rsidRPr="00365A5F">
        <w:rPr>
          <w:rFonts w:eastAsiaTheme="minorHAnsi" w:cs="Arial"/>
          <w:bCs/>
          <w:lang w:eastAsia="en-US"/>
        </w:rPr>
        <w:t xml:space="preserve">is in line with the </w:t>
      </w:r>
      <w:r w:rsidR="00524C3D" w:rsidRPr="00365A5F">
        <w:rPr>
          <w:rFonts w:eastAsiaTheme="minorHAnsi" w:cs="Arial"/>
          <w:bCs/>
          <w:lang w:eastAsia="en-US"/>
        </w:rPr>
        <w:t>Education and ESFA</w:t>
      </w:r>
      <w:r w:rsidR="00CD6B3C" w:rsidRPr="00365A5F">
        <w:rPr>
          <w:rFonts w:eastAsiaTheme="minorHAnsi" w:cs="Arial"/>
          <w:bCs/>
          <w:lang w:eastAsia="en-US"/>
        </w:rPr>
        <w:t xml:space="preserve">’s </w:t>
      </w:r>
      <w:r w:rsidR="00F157A0" w:rsidRPr="00365A5F">
        <w:rPr>
          <w:rFonts w:eastAsiaTheme="minorHAnsi" w:cs="Arial"/>
          <w:bCs/>
          <w:lang w:eastAsia="en-US"/>
        </w:rPr>
        <w:t xml:space="preserve">qualifying period for funding as laid out in </w:t>
      </w:r>
      <w:hyperlink r:id="rId9" w:history="1">
        <w:r w:rsidR="003E109C" w:rsidRPr="004E4346">
          <w:rPr>
            <w:rStyle w:val="Hyperlink"/>
            <w:rFonts w:eastAsiaTheme="minorHAnsi" w:cs="Arial"/>
            <w:bCs/>
            <w:lang w:eastAsia="en-US"/>
          </w:rPr>
          <w:t>https://www.gov.uk/government/publications/adult-education-budget-aeb-funding-rates-and-formula-2021-to-2022</w:t>
        </w:r>
      </w:hyperlink>
    </w:p>
    <w:p w14:paraId="77A6BD05" w14:textId="77777777" w:rsidR="003E109C" w:rsidRDefault="003E109C" w:rsidP="00DB294A">
      <w:pPr>
        <w:spacing w:beforeLines="80" w:before="192" w:afterLines="80" w:after="192" w:line="288" w:lineRule="auto"/>
        <w:contextualSpacing/>
        <w:rPr>
          <w:rFonts w:eastAsiaTheme="minorHAnsi" w:cs="Arial"/>
          <w:bCs/>
          <w:lang w:eastAsia="en-US"/>
        </w:rPr>
      </w:pPr>
    </w:p>
    <w:p w14:paraId="4665548D" w14:textId="77777777" w:rsidR="00F07DA1" w:rsidRPr="00365A5F" w:rsidRDefault="002E5E33" w:rsidP="00D203F0">
      <w:pPr>
        <w:spacing w:beforeLines="80" w:before="192" w:afterLines="80" w:after="192" w:line="288" w:lineRule="auto"/>
        <w:contextualSpacing/>
      </w:pPr>
      <w:r w:rsidRPr="00365A5F">
        <w:rPr>
          <w:rFonts w:eastAsiaTheme="minorHAnsi" w:cs="Arial"/>
          <w:bCs/>
          <w:lang w:eastAsia="en-US"/>
        </w:rPr>
        <w:t xml:space="preserve">Payments </w:t>
      </w:r>
      <w:r w:rsidR="00CD6B3C" w:rsidRPr="00365A5F">
        <w:rPr>
          <w:rFonts w:eastAsiaTheme="minorHAnsi" w:cs="Arial"/>
          <w:bCs/>
          <w:lang w:eastAsia="en-US"/>
        </w:rPr>
        <w:t xml:space="preserve">are made in arrears after receipt and verification of </w:t>
      </w:r>
      <w:r w:rsidR="008722BB" w:rsidRPr="00365A5F">
        <w:rPr>
          <w:rFonts w:eastAsiaTheme="minorHAnsi" w:cs="Arial"/>
          <w:bCs/>
          <w:lang w:eastAsia="en-US"/>
        </w:rPr>
        <w:t>all required paperwork</w:t>
      </w:r>
      <w:r w:rsidR="00CD6B3C" w:rsidRPr="00365A5F">
        <w:rPr>
          <w:rFonts w:eastAsiaTheme="minorHAnsi" w:cs="Arial"/>
          <w:bCs/>
          <w:lang w:eastAsia="en-US"/>
        </w:rPr>
        <w:t xml:space="preserve">.  A </w:t>
      </w:r>
      <w:r w:rsidR="002B223C" w:rsidRPr="00365A5F">
        <w:rPr>
          <w:rFonts w:eastAsiaTheme="minorHAnsi" w:cs="Arial"/>
          <w:bCs/>
          <w:lang w:eastAsia="en-US"/>
        </w:rPr>
        <w:t>year-end r</w:t>
      </w:r>
      <w:r w:rsidRPr="00365A5F">
        <w:rPr>
          <w:rFonts w:eastAsiaTheme="minorHAnsi" w:cs="Arial"/>
          <w:bCs/>
          <w:lang w:eastAsia="en-US"/>
        </w:rPr>
        <w:t xml:space="preserve">econciliation </w:t>
      </w:r>
      <w:r w:rsidR="002B223C" w:rsidRPr="00365A5F">
        <w:rPr>
          <w:rFonts w:eastAsiaTheme="minorHAnsi" w:cs="Arial"/>
          <w:bCs/>
          <w:lang w:eastAsia="en-US"/>
        </w:rPr>
        <w:t xml:space="preserve">is carried out </w:t>
      </w:r>
      <w:r w:rsidR="00CD6B3C" w:rsidRPr="00365A5F">
        <w:rPr>
          <w:rFonts w:eastAsiaTheme="minorHAnsi" w:cs="Arial"/>
          <w:bCs/>
          <w:lang w:eastAsia="en-US"/>
        </w:rPr>
        <w:t xml:space="preserve">once </w:t>
      </w:r>
      <w:r w:rsidRPr="00365A5F">
        <w:rPr>
          <w:rFonts w:eastAsiaTheme="minorHAnsi" w:cs="Arial"/>
          <w:bCs/>
          <w:lang w:eastAsia="en-US"/>
        </w:rPr>
        <w:t xml:space="preserve">all paperwork has been processed for the full academic year. </w:t>
      </w:r>
      <w:r w:rsidR="002C1DFC" w:rsidRPr="00365A5F">
        <w:t xml:space="preserve">The council may agree to payment in advance in exceptional circumstances. </w:t>
      </w:r>
      <w:r w:rsidR="003A0C9A" w:rsidRPr="00365A5F">
        <w:t xml:space="preserve"> Invoices are paid within 30 days of </w:t>
      </w:r>
      <w:r w:rsidR="00B11B26" w:rsidRPr="00365A5F">
        <w:t>date of invoice</w:t>
      </w:r>
      <w:r w:rsidR="003A0C9A" w:rsidRPr="00365A5F">
        <w:t xml:space="preserve">, in line with the council’s policy.  </w:t>
      </w:r>
    </w:p>
    <w:p w14:paraId="386990BF" w14:textId="77777777" w:rsidR="00877461" w:rsidRPr="00365A5F" w:rsidRDefault="00877461" w:rsidP="00D203F0">
      <w:pPr>
        <w:spacing w:beforeLines="80" w:before="192" w:afterLines="80" w:after="192" w:line="288" w:lineRule="auto"/>
        <w:contextualSpacing/>
      </w:pPr>
    </w:p>
    <w:p w14:paraId="44E2BBF7" w14:textId="77777777" w:rsidR="00FF5FFC" w:rsidRPr="00365A5F" w:rsidRDefault="00FF5FFC" w:rsidP="00D203F0">
      <w:pPr>
        <w:spacing w:beforeLines="80" w:before="192" w:afterLines="80" w:after="192" w:line="288" w:lineRule="auto"/>
        <w:contextualSpacing/>
        <w:rPr>
          <w:b/>
        </w:rPr>
      </w:pPr>
      <w:r w:rsidRPr="00365A5F">
        <w:rPr>
          <w:b/>
        </w:rPr>
        <w:t xml:space="preserve">Communication </w:t>
      </w:r>
      <w:r w:rsidR="00D95054" w:rsidRPr="00365A5F">
        <w:rPr>
          <w:b/>
        </w:rPr>
        <w:t>of</w:t>
      </w:r>
      <w:r w:rsidRPr="00365A5F">
        <w:rPr>
          <w:b/>
        </w:rPr>
        <w:t xml:space="preserve"> policy with current and potential subcontractors</w:t>
      </w:r>
    </w:p>
    <w:p w14:paraId="4951BEA2" w14:textId="77777777" w:rsidR="00A46CE7" w:rsidRPr="00365A5F" w:rsidRDefault="00A46CE7" w:rsidP="00D203F0">
      <w:pPr>
        <w:spacing w:beforeLines="80" w:before="192" w:afterLines="80" w:after="192" w:line="288" w:lineRule="auto"/>
        <w:contextualSpacing/>
      </w:pPr>
    </w:p>
    <w:p w14:paraId="600B26C4" w14:textId="77777777" w:rsidR="0052494F" w:rsidRPr="00365A5F" w:rsidRDefault="00DB294A" w:rsidP="00D203F0">
      <w:pPr>
        <w:spacing w:beforeLines="80" w:before="192" w:afterLines="80" w:after="192" w:line="288" w:lineRule="auto"/>
        <w:contextualSpacing/>
      </w:pPr>
      <w:r w:rsidRPr="00365A5F">
        <w:t xml:space="preserve">This policy is communicated to current and potential subcontractors through email, provider meetings and contract reviews.  It will also form part of the contract for the new framework.  </w:t>
      </w:r>
    </w:p>
    <w:p w14:paraId="26DB05D8" w14:textId="77777777" w:rsidR="00BC56C2" w:rsidRPr="00365A5F" w:rsidRDefault="00BC56C2" w:rsidP="00D203F0">
      <w:pPr>
        <w:spacing w:beforeLines="80" w:before="192" w:afterLines="80" w:after="192" w:line="288" w:lineRule="auto"/>
        <w:contextualSpacing/>
        <w:rPr>
          <w:b/>
        </w:rPr>
      </w:pPr>
    </w:p>
    <w:p w14:paraId="3B7C04BD" w14:textId="77777777" w:rsidR="00FF5FFC" w:rsidRPr="00365A5F" w:rsidRDefault="00FF5FFC" w:rsidP="00D203F0">
      <w:pPr>
        <w:spacing w:beforeLines="80" w:before="192" w:afterLines="80" w:after="192" w:line="288" w:lineRule="auto"/>
        <w:contextualSpacing/>
        <w:rPr>
          <w:b/>
        </w:rPr>
      </w:pPr>
      <w:r w:rsidRPr="00365A5F">
        <w:rPr>
          <w:b/>
        </w:rPr>
        <w:t>Timing of policy review</w:t>
      </w:r>
      <w:r w:rsidR="00A46CE7" w:rsidRPr="00365A5F">
        <w:rPr>
          <w:b/>
        </w:rPr>
        <w:t xml:space="preserve"> </w:t>
      </w:r>
    </w:p>
    <w:p w14:paraId="1FCE9543" w14:textId="77777777" w:rsidR="00A46CE7" w:rsidRPr="00365A5F" w:rsidRDefault="00A46CE7" w:rsidP="00D203F0">
      <w:pPr>
        <w:spacing w:beforeLines="80" w:before="192" w:afterLines="80" w:after="192" w:line="288" w:lineRule="auto"/>
        <w:contextualSpacing/>
        <w:rPr>
          <w:b/>
        </w:rPr>
      </w:pPr>
    </w:p>
    <w:p w14:paraId="5340F392" w14:textId="77777777" w:rsidR="003A0C9A" w:rsidRPr="00365A5F" w:rsidRDefault="002C1DFC" w:rsidP="00D203F0">
      <w:pPr>
        <w:spacing w:beforeLines="80" w:before="192" w:afterLines="80" w:after="192" w:line="288" w:lineRule="auto"/>
        <w:contextualSpacing/>
      </w:pPr>
      <w:r w:rsidRPr="00365A5F">
        <w:t xml:space="preserve">This policy will be reviewed </w:t>
      </w:r>
      <w:r w:rsidR="00127647" w:rsidRPr="00365A5F">
        <w:t xml:space="preserve">annually. If significant or substantial changes are made to </w:t>
      </w:r>
      <w:r w:rsidR="00524C3D" w:rsidRPr="00365A5F">
        <w:t>E</w:t>
      </w:r>
      <w:r w:rsidR="00127647" w:rsidRPr="00365A5F">
        <w:t xml:space="preserve">SFA funding or guidance </w:t>
      </w:r>
      <w:r w:rsidR="00A46CE7" w:rsidRPr="00365A5F">
        <w:t>or there are other central or local government changes that may affect it</w:t>
      </w:r>
      <w:r w:rsidR="00127647" w:rsidRPr="00365A5F">
        <w:t>, the policy will be amended in year as necessary.</w:t>
      </w:r>
    </w:p>
    <w:p w14:paraId="7DCD05C5" w14:textId="77777777" w:rsidR="00FF5FFC" w:rsidRPr="00365A5F" w:rsidRDefault="00FF5FFC" w:rsidP="00D203F0">
      <w:pPr>
        <w:spacing w:beforeLines="80" w:before="192" w:afterLines="80" w:after="192" w:line="288" w:lineRule="auto"/>
        <w:contextualSpacing/>
      </w:pPr>
    </w:p>
    <w:p w14:paraId="3D635FB0" w14:textId="77777777" w:rsidR="00FF5FFC" w:rsidRPr="00365A5F" w:rsidRDefault="00FF5FFC" w:rsidP="00D203F0">
      <w:pPr>
        <w:spacing w:beforeLines="80" w:before="192" w:afterLines="80" w:after="192" w:line="288" w:lineRule="auto"/>
        <w:contextualSpacing/>
        <w:rPr>
          <w:b/>
        </w:rPr>
      </w:pPr>
      <w:r w:rsidRPr="00365A5F">
        <w:rPr>
          <w:b/>
        </w:rPr>
        <w:t>Publication of policy</w:t>
      </w:r>
    </w:p>
    <w:p w14:paraId="285AA600" w14:textId="77777777" w:rsidR="00A46CE7" w:rsidRPr="00365A5F" w:rsidRDefault="00A46CE7" w:rsidP="00D203F0">
      <w:pPr>
        <w:spacing w:beforeLines="80" w:before="192" w:afterLines="80" w:after="192" w:line="288" w:lineRule="auto"/>
        <w:contextualSpacing/>
        <w:rPr>
          <w:b/>
        </w:rPr>
      </w:pPr>
    </w:p>
    <w:p w14:paraId="389F1748" w14:textId="77777777" w:rsidR="00877461" w:rsidRPr="00365A5F" w:rsidRDefault="00877461" w:rsidP="00D203F0">
      <w:pPr>
        <w:spacing w:beforeLines="80" w:before="192" w:afterLines="80" w:after="192" w:line="288" w:lineRule="auto"/>
        <w:contextualSpacing/>
        <w:rPr>
          <w:b/>
        </w:rPr>
      </w:pPr>
      <w:r w:rsidRPr="00365A5F">
        <w:t xml:space="preserve">This </w:t>
      </w:r>
      <w:r w:rsidR="002C1DFC" w:rsidRPr="00365A5F">
        <w:t>p</w:t>
      </w:r>
      <w:r w:rsidRPr="00365A5F">
        <w:t xml:space="preserve">olicy can be found on </w:t>
      </w:r>
      <w:r w:rsidR="002C1DFC" w:rsidRPr="00365A5F">
        <w:t>Southampton City Council’s w</w:t>
      </w:r>
      <w:r w:rsidRPr="00365A5F">
        <w:t>ebsite</w:t>
      </w:r>
      <w:r w:rsidR="002C1DFC" w:rsidRPr="00365A5F">
        <w:t xml:space="preserve"> here</w:t>
      </w:r>
      <w:r w:rsidRPr="00365A5F">
        <w:t>:</w:t>
      </w:r>
    </w:p>
    <w:p w14:paraId="4A4CF15C" w14:textId="77777777" w:rsidR="00177C86" w:rsidRPr="003E109C" w:rsidRDefault="002C195E" w:rsidP="00D203F0">
      <w:pPr>
        <w:spacing w:beforeLines="80" w:before="192" w:afterLines="80" w:after="192" w:line="288" w:lineRule="auto"/>
        <w:contextualSpacing/>
        <w:rPr>
          <w:color w:val="00B0F0"/>
        </w:rPr>
      </w:pPr>
      <w:hyperlink r:id="rId10" w:history="1">
        <w:r w:rsidR="00177C86" w:rsidRPr="003E109C">
          <w:rPr>
            <w:rStyle w:val="Hyperlink"/>
            <w:color w:val="00B0F0"/>
          </w:rPr>
          <w:t>http://www.southampton.gov.uk/schools-learning/further-learning/adult-education.aspx</w:t>
        </w:r>
      </w:hyperlink>
    </w:p>
    <w:p w14:paraId="04D425DA" w14:textId="77777777" w:rsidR="00177C86" w:rsidRPr="006261A4" w:rsidRDefault="00177C86" w:rsidP="00D203F0">
      <w:pPr>
        <w:spacing w:beforeLines="80" w:before="192" w:afterLines="80" w:after="192" w:line="288" w:lineRule="auto"/>
        <w:contextualSpacing/>
        <w:rPr>
          <w:color w:val="FF0000"/>
        </w:rPr>
      </w:pPr>
    </w:p>
    <w:p w14:paraId="59BCBDFD" w14:textId="77777777" w:rsidR="00D02654" w:rsidRPr="00365A5F" w:rsidRDefault="00D2675D" w:rsidP="00D203F0">
      <w:pPr>
        <w:spacing w:beforeLines="80" w:before="192" w:afterLines="80" w:after="192" w:line="288" w:lineRule="auto"/>
        <w:contextualSpacing/>
        <w:rPr>
          <w:b/>
        </w:rPr>
      </w:pPr>
      <w:r w:rsidRPr="00365A5F">
        <w:rPr>
          <w:b/>
        </w:rPr>
        <w:t>Contact details</w:t>
      </w:r>
    </w:p>
    <w:p w14:paraId="38D169AE" w14:textId="77777777" w:rsidR="00B17CBD" w:rsidRPr="00365A5F" w:rsidRDefault="00B17CBD" w:rsidP="00D203F0">
      <w:pPr>
        <w:spacing w:beforeLines="80" w:before="192" w:afterLines="80" w:after="192" w:line="288" w:lineRule="auto"/>
        <w:contextualSpacing/>
      </w:pPr>
    </w:p>
    <w:p w14:paraId="54CFF8B9" w14:textId="77777777" w:rsidR="00D2675D" w:rsidRPr="00365A5F" w:rsidRDefault="00D2675D" w:rsidP="00D203F0">
      <w:pPr>
        <w:spacing w:beforeLines="80" w:before="192" w:afterLines="80" w:after="192" w:line="288" w:lineRule="auto"/>
        <w:contextualSpacing/>
      </w:pPr>
      <w:r w:rsidRPr="00365A5F">
        <w:t xml:space="preserve">For more information about this policy or other aspect of </w:t>
      </w:r>
      <w:r w:rsidR="002355CA" w:rsidRPr="00365A5F">
        <w:t>our</w:t>
      </w:r>
      <w:r w:rsidRPr="00365A5F">
        <w:t xml:space="preserve"> provision, please contact</w:t>
      </w:r>
      <w:r w:rsidR="006D5396" w:rsidRPr="00365A5F">
        <w:t xml:space="preserve"> us</w:t>
      </w:r>
      <w:r w:rsidR="002E6959" w:rsidRPr="00365A5F">
        <w:t xml:space="preserve"> by</w:t>
      </w:r>
      <w:r w:rsidRPr="00365A5F">
        <w:t xml:space="preserve">: </w:t>
      </w:r>
    </w:p>
    <w:p w14:paraId="1BD4F79D" w14:textId="0C87858A" w:rsidR="00365A5F" w:rsidRDefault="00D2675D" w:rsidP="00D203F0">
      <w:pPr>
        <w:spacing w:beforeLines="80" w:before="192" w:afterLines="80" w:after="192" w:line="288" w:lineRule="auto"/>
        <w:contextualSpacing/>
      </w:pPr>
      <w:r w:rsidRPr="00365A5F">
        <w:rPr>
          <w:rFonts w:cs="Arial"/>
        </w:rPr>
        <w:t>Email</w:t>
      </w:r>
      <w:r w:rsidRPr="00365A5F">
        <w:rPr>
          <w:rFonts w:cs="Arial"/>
        </w:rPr>
        <w:tab/>
      </w:r>
      <w:r w:rsidRPr="00365A5F">
        <w:rPr>
          <w:rFonts w:cs="Arial"/>
        </w:rPr>
        <w:tab/>
      </w:r>
      <w:hyperlink r:id="rId11" w:history="1">
        <w:r w:rsidR="00365A5F" w:rsidRPr="004E4346">
          <w:rPr>
            <w:rStyle w:val="Hyperlink"/>
          </w:rPr>
          <w:t>community.learning@southampton.gov.uk</w:t>
        </w:r>
      </w:hyperlink>
    </w:p>
    <w:p w14:paraId="20BF8B47" w14:textId="77777777" w:rsidR="00365A5F" w:rsidRPr="00365A5F" w:rsidRDefault="00365A5F" w:rsidP="00D203F0">
      <w:pPr>
        <w:spacing w:beforeLines="80" w:before="192" w:afterLines="80" w:after="192" w:line="288" w:lineRule="auto"/>
        <w:contextualSpacing/>
        <w:rPr>
          <w:rFonts w:cs="Arial"/>
        </w:rPr>
      </w:pPr>
    </w:p>
    <w:p w14:paraId="05615B78" w14:textId="77777777" w:rsidR="008259B9" w:rsidRPr="006261A4" w:rsidRDefault="008259B9" w:rsidP="00D203F0">
      <w:pPr>
        <w:spacing w:beforeLines="80" w:before="192" w:afterLines="80" w:after="192" w:line="288" w:lineRule="auto"/>
        <w:ind w:left="1440"/>
        <w:contextualSpacing/>
        <w:rPr>
          <w:rFonts w:cs="Arial"/>
          <w:color w:val="FF0000"/>
        </w:rPr>
      </w:pPr>
    </w:p>
    <w:p w14:paraId="02FEAEF0" w14:textId="77777777" w:rsidR="00041EE0" w:rsidRPr="006261A4" w:rsidRDefault="00041EE0" w:rsidP="00D203F0">
      <w:pPr>
        <w:spacing w:beforeLines="80" w:before="192" w:afterLines="80" w:after="192" w:line="288" w:lineRule="auto"/>
        <w:ind w:left="1440"/>
        <w:contextualSpacing/>
        <w:rPr>
          <w:rFonts w:cs="Arial"/>
          <w:color w:val="FF0000"/>
        </w:rPr>
      </w:pPr>
    </w:p>
    <w:p w14:paraId="7F89E455" w14:textId="77777777" w:rsidR="00041EE0" w:rsidRPr="006261A4" w:rsidRDefault="00041EE0" w:rsidP="00D203F0">
      <w:pPr>
        <w:spacing w:beforeLines="80" w:before="192" w:afterLines="80" w:after="192" w:line="288" w:lineRule="auto"/>
        <w:ind w:left="1440"/>
        <w:contextualSpacing/>
        <w:rPr>
          <w:rFonts w:cs="Arial"/>
          <w:color w:val="FF0000"/>
        </w:rPr>
        <w:sectPr w:rsidR="00041EE0" w:rsidRPr="006261A4" w:rsidSect="007416CA">
          <w:headerReference w:type="even" r:id="rId12"/>
          <w:headerReference w:type="default" r:id="rId13"/>
          <w:footerReference w:type="even" r:id="rId14"/>
          <w:footerReference w:type="default" r:id="rId15"/>
          <w:headerReference w:type="first" r:id="rId16"/>
          <w:footerReference w:type="first" r:id="rId17"/>
          <w:pgSz w:w="11906" w:h="16838" w:code="9"/>
          <w:pgMar w:top="1134" w:right="709" w:bottom="1021" w:left="1134" w:header="709" w:footer="357" w:gutter="0"/>
          <w:cols w:space="708"/>
          <w:titlePg/>
          <w:docGrid w:linePitch="360"/>
        </w:sectPr>
      </w:pPr>
    </w:p>
    <w:p w14:paraId="68098518" w14:textId="37097F66" w:rsidR="00C32DD3" w:rsidRPr="002F1FE3" w:rsidRDefault="006A4F50" w:rsidP="00C32DD3">
      <w:pPr>
        <w:jc w:val="center"/>
        <w:rPr>
          <w:b/>
        </w:rPr>
      </w:pPr>
      <w:r w:rsidRPr="002F1FE3">
        <w:rPr>
          <w:b/>
        </w:rPr>
        <w:lastRenderedPageBreak/>
        <w:t xml:space="preserve">AEB delivery subcontractor fees and charges for the funding year </w:t>
      </w:r>
      <w:r w:rsidR="002F1FE3" w:rsidRPr="002F1FE3">
        <w:rPr>
          <w:b/>
        </w:rPr>
        <w:t>2020-21</w:t>
      </w:r>
      <w:r w:rsidR="00C8113D" w:rsidRPr="002F1FE3">
        <w:rPr>
          <w:b/>
        </w:rPr>
        <w:t xml:space="preserve"> </w:t>
      </w:r>
    </w:p>
    <w:p w14:paraId="5043CFFF" w14:textId="77777777" w:rsidR="006A4F50" w:rsidRPr="002F1FE3" w:rsidRDefault="00C8113D" w:rsidP="00C32DD3">
      <w:pPr>
        <w:jc w:val="center"/>
        <w:rPr>
          <w:b/>
        </w:rPr>
      </w:pPr>
      <w:r w:rsidRPr="002F1FE3">
        <w:rPr>
          <w:b/>
        </w:rPr>
        <w:t>(all contracts cover full academic year)</w:t>
      </w:r>
    </w:p>
    <w:p w14:paraId="548F4127" w14:textId="77777777" w:rsidR="006963A5" w:rsidRPr="006261A4" w:rsidRDefault="006963A5">
      <w:pPr>
        <w:rPr>
          <w:color w:val="FF0000"/>
        </w:rPr>
      </w:pPr>
    </w:p>
    <w:tbl>
      <w:tblPr>
        <w:tblStyle w:val="TableGrid"/>
        <w:tblW w:w="11335" w:type="dxa"/>
        <w:jc w:val="center"/>
        <w:tblLook w:val="04A0" w:firstRow="1" w:lastRow="0" w:firstColumn="1" w:lastColumn="0" w:noHBand="0" w:noVBand="1"/>
      </w:tblPr>
      <w:tblGrid>
        <w:gridCol w:w="3168"/>
        <w:gridCol w:w="1505"/>
        <w:gridCol w:w="2034"/>
        <w:gridCol w:w="2177"/>
        <w:gridCol w:w="2451"/>
      </w:tblGrid>
      <w:tr w:rsidR="006261A4" w:rsidRPr="006261A4" w14:paraId="33827A5F" w14:textId="77777777" w:rsidTr="002C195E">
        <w:trPr>
          <w:trHeight w:val="913"/>
          <w:jc w:val="center"/>
        </w:trPr>
        <w:tc>
          <w:tcPr>
            <w:tcW w:w="3168" w:type="dxa"/>
            <w:vAlign w:val="center"/>
          </w:tcPr>
          <w:p w14:paraId="16C35501" w14:textId="77777777" w:rsidR="0043148F" w:rsidRPr="002F1FE3" w:rsidRDefault="0043148F" w:rsidP="00041EE0">
            <w:pPr>
              <w:spacing w:before="40" w:after="40"/>
              <w:jc w:val="center"/>
              <w:rPr>
                <w:sz w:val="20"/>
                <w:szCs w:val="20"/>
              </w:rPr>
            </w:pPr>
            <w:r w:rsidRPr="002F1FE3">
              <w:rPr>
                <w:sz w:val="20"/>
                <w:szCs w:val="20"/>
              </w:rPr>
              <w:t>Subcontractor</w:t>
            </w:r>
          </w:p>
        </w:tc>
        <w:tc>
          <w:tcPr>
            <w:tcW w:w="1505" w:type="dxa"/>
            <w:vAlign w:val="center"/>
          </w:tcPr>
          <w:p w14:paraId="5EA0C70D" w14:textId="77777777" w:rsidR="0043148F" w:rsidRPr="002F1FE3" w:rsidRDefault="0043148F" w:rsidP="00041EE0">
            <w:pPr>
              <w:spacing w:before="40" w:after="40"/>
              <w:jc w:val="center"/>
              <w:rPr>
                <w:sz w:val="20"/>
                <w:szCs w:val="20"/>
              </w:rPr>
            </w:pPr>
            <w:r w:rsidRPr="002F1FE3">
              <w:rPr>
                <w:sz w:val="20"/>
                <w:szCs w:val="20"/>
              </w:rPr>
              <w:t>UKPRN</w:t>
            </w:r>
          </w:p>
        </w:tc>
        <w:tc>
          <w:tcPr>
            <w:tcW w:w="2034" w:type="dxa"/>
            <w:vAlign w:val="center"/>
          </w:tcPr>
          <w:p w14:paraId="590126B2" w14:textId="77777777" w:rsidR="0043148F" w:rsidRPr="002F1FE3" w:rsidRDefault="0043148F" w:rsidP="00EC4FA3">
            <w:pPr>
              <w:spacing w:before="40" w:after="40"/>
              <w:jc w:val="center"/>
              <w:rPr>
                <w:sz w:val="20"/>
                <w:szCs w:val="20"/>
              </w:rPr>
            </w:pPr>
            <w:r w:rsidRPr="002F1FE3">
              <w:rPr>
                <w:sz w:val="20"/>
                <w:szCs w:val="20"/>
              </w:rPr>
              <w:t>Funding paid to SCC by ESFA for AEB delivery</w:t>
            </w:r>
          </w:p>
        </w:tc>
        <w:tc>
          <w:tcPr>
            <w:tcW w:w="2177" w:type="dxa"/>
            <w:vAlign w:val="center"/>
          </w:tcPr>
          <w:p w14:paraId="1C3666DD" w14:textId="77777777" w:rsidR="0043148F" w:rsidRPr="002F1FE3" w:rsidRDefault="0043148F" w:rsidP="00EC4FA3">
            <w:pPr>
              <w:spacing w:before="40" w:after="40"/>
              <w:jc w:val="center"/>
              <w:rPr>
                <w:sz w:val="20"/>
                <w:szCs w:val="20"/>
              </w:rPr>
            </w:pPr>
            <w:r w:rsidRPr="002F1FE3">
              <w:rPr>
                <w:sz w:val="20"/>
                <w:szCs w:val="20"/>
              </w:rPr>
              <w:t>Funding paid by SCC to subcontractor</w:t>
            </w:r>
            <w:r w:rsidRPr="002F1FE3">
              <w:rPr>
                <w:rStyle w:val="FootnoteReference"/>
                <w:sz w:val="20"/>
                <w:szCs w:val="20"/>
              </w:rPr>
              <w:footnoteReference w:id="1"/>
            </w:r>
          </w:p>
        </w:tc>
        <w:tc>
          <w:tcPr>
            <w:tcW w:w="2451" w:type="dxa"/>
            <w:vAlign w:val="center"/>
          </w:tcPr>
          <w:p w14:paraId="6E14EAD9" w14:textId="77777777" w:rsidR="0043148F" w:rsidRPr="002F1FE3" w:rsidRDefault="0043148F" w:rsidP="00EC4FA3">
            <w:pPr>
              <w:spacing w:before="40" w:after="40"/>
              <w:jc w:val="center"/>
              <w:rPr>
                <w:sz w:val="20"/>
                <w:szCs w:val="20"/>
              </w:rPr>
            </w:pPr>
            <w:r w:rsidRPr="002F1FE3">
              <w:rPr>
                <w:sz w:val="20"/>
                <w:szCs w:val="20"/>
              </w:rPr>
              <w:t>Funding retained in relation to this subcontractor</w:t>
            </w:r>
            <w:r w:rsidRPr="002F1FE3">
              <w:rPr>
                <w:rStyle w:val="FootnoteReference"/>
                <w:sz w:val="20"/>
                <w:szCs w:val="20"/>
              </w:rPr>
              <w:footnoteReference w:id="2"/>
            </w:r>
          </w:p>
        </w:tc>
      </w:tr>
      <w:tr w:rsidR="002C195E" w:rsidRPr="006261A4" w14:paraId="651033D5" w14:textId="77777777" w:rsidTr="002C195E">
        <w:trPr>
          <w:trHeight w:val="913"/>
          <w:jc w:val="center"/>
        </w:trPr>
        <w:tc>
          <w:tcPr>
            <w:tcW w:w="3168" w:type="dxa"/>
            <w:vAlign w:val="center"/>
          </w:tcPr>
          <w:p w14:paraId="2F9D6BF3"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Alistair Cooke (Bfluent)</w:t>
            </w:r>
          </w:p>
        </w:tc>
        <w:tc>
          <w:tcPr>
            <w:tcW w:w="1505" w:type="dxa"/>
            <w:vAlign w:val="center"/>
          </w:tcPr>
          <w:p w14:paraId="45431029"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10066720</w:t>
            </w:r>
          </w:p>
        </w:tc>
        <w:tc>
          <w:tcPr>
            <w:tcW w:w="2034" w:type="dxa"/>
            <w:vAlign w:val="center"/>
          </w:tcPr>
          <w:p w14:paraId="38CFC84A" w14:textId="19644A52" w:rsidR="002C195E" w:rsidRPr="002C195E" w:rsidRDefault="002C195E" w:rsidP="002C195E">
            <w:pPr>
              <w:jc w:val="center"/>
              <w:rPr>
                <w:rFonts w:cs="Arial"/>
                <w:sz w:val="20"/>
                <w:szCs w:val="20"/>
              </w:rPr>
            </w:pPr>
            <w:r w:rsidRPr="002C195E">
              <w:rPr>
                <w:sz w:val="20"/>
                <w:szCs w:val="20"/>
              </w:rPr>
              <w:t>£42,456.09</w:t>
            </w:r>
          </w:p>
        </w:tc>
        <w:tc>
          <w:tcPr>
            <w:tcW w:w="2177" w:type="dxa"/>
            <w:vAlign w:val="center"/>
          </w:tcPr>
          <w:p w14:paraId="16439F18" w14:textId="3783F6B8" w:rsidR="002C195E" w:rsidRPr="002C195E" w:rsidRDefault="002C195E" w:rsidP="002C195E">
            <w:pPr>
              <w:jc w:val="center"/>
              <w:rPr>
                <w:rFonts w:cs="Arial"/>
                <w:sz w:val="20"/>
                <w:szCs w:val="20"/>
              </w:rPr>
            </w:pPr>
            <w:r w:rsidRPr="002C195E">
              <w:rPr>
                <w:sz w:val="20"/>
                <w:szCs w:val="20"/>
              </w:rPr>
              <w:t>£36,095.00</w:t>
            </w:r>
          </w:p>
        </w:tc>
        <w:tc>
          <w:tcPr>
            <w:tcW w:w="2451" w:type="dxa"/>
            <w:vAlign w:val="center"/>
          </w:tcPr>
          <w:p w14:paraId="3B3B17E3" w14:textId="5C9CBCE5" w:rsidR="002C195E" w:rsidRPr="002C195E" w:rsidRDefault="002C195E" w:rsidP="002C195E">
            <w:pPr>
              <w:jc w:val="center"/>
              <w:rPr>
                <w:rFonts w:cs="Arial"/>
                <w:sz w:val="20"/>
                <w:szCs w:val="20"/>
              </w:rPr>
            </w:pPr>
            <w:r w:rsidRPr="002C195E">
              <w:rPr>
                <w:sz w:val="20"/>
                <w:szCs w:val="20"/>
              </w:rPr>
              <w:t>£6,361.09</w:t>
            </w:r>
          </w:p>
        </w:tc>
      </w:tr>
      <w:tr w:rsidR="002C195E" w:rsidRPr="006261A4" w14:paraId="7B684012" w14:textId="77777777" w:rsidTr="002C195E">
        <w:trPr>
          <w:trHeight w:val="913"/>
          <w:jc w:val="center"/>
        </w:trPr>
        <w:tc>
          <w:tcPr>
            <w:tcW w:w="3168" w:type="dxa"/>
            <w:vAlign w:val="center"/>
          </w:tcPr>
          <w:p w14:paraId="232BFEA1"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City Life Church Southampton</w:t>
            </w:r>
          </w:p>
        </w:tc>
        <w:tc>
          <w:tcPr>
            <w:tcW w:w="1505" w:type="dxa"/>
            <w:vAlign w:val="center"/>
          </w:tcPr>
          <w:p w14:paraId="69D41EFB"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10034408</w:t>
            </w:r>
          </w:p>
        </w:tc>
        <w:tc>
          <w:tcPr>
            <w:tcW w:w="2034" w:type="dxa"/>
            <w:vAlign w:val="center"/>
          </w:tcPr>
          <w:p w14:paraId="09B581BE" w14:textId="3E24570E" w:rsidR="002C195E" w:rsidRPr="002C195E" w:rsidRDefault="002C195E" w:rsidP="002C195E">
            <w:pPr>
              <w:jc w:val="center"/>
              <w:rPr>
                <w:rFonts w:cs="Arial"/>
                <w:sz w:val="20"/>
                <w:szCs w:val="20"/>
              </w:rPr>
            </w:pPr>
            <w:r w:rsidRPr="002C195E">
              <w:rPr>
                <w:sz w:val="20"/>
                <w:szCs w:val="20"/>
              </w:rPr>
              <w:t>£44,544.50</w:t>
            </w:r>
          </w:p>
        </w:tc>
        <w:tc>
          <w:tcPr>
            <w:tcW w:w="2177" w:type="dxa"/>
            <w:vAlign w:val="center"/>
          </w:tcPr>
          <w:p w14:paraId="133F017C" w14:textId="132C9605" w:rsidR="002C195E" w:rsidRPr="002C195E" w:rsidRDefault="002C195E" w:rsidP="002C195E">
            <w:pPr>
              <w:jc w:val="center"/>
              <w:rPr>
                <w:rFonts w:cs="Arial"/>
                <w:sz w:val="20"/>
                <w:szCs w:val="20"/>
              </w:rPr>
            </w:pPr>
            <w:r w:rsidRPr="002C195E">
              <w:rPr>
                <w:sz w:val="20"/>
                <w:szCs w:val="20"/>
              </w:rPr>
              <w:t>£35,635.60</w:t>
            </w:r>
          </w:p>
        </w:tc>
        <w:tc>
          <w:tcPr>
            <w:tcW w:w="2451" w:type="dxa"/>
            <w:vAlign w:val="center"/>
          </w:tcPr>
          <w:p w14:paraId="7328B302" w14:textId="308400CE" w:rsidR="002C195E" w:rsidRPr="002C195E" w:rsidRDefault="002C195E" w:rsidP="002C195E">
            <w:pPr>
              <w:jc w:val="center"/>
              <w:rPr>
                <w:rFonts w:cs="Arial"/>
                <w:sz w:val="20"/>
                <w:szCs w:val="20"/>
              </w:rPr>
            </w:pPr>
            <w:r w:rsidRPr="002C195E">
              <w:rPr>
                <w:sz w:val="20"/>
                <w:szCs w:val="20"/>
              </w:rPr>
              <w:t>£8,908.90</w:t>
            </w:r>
          </w:p>
        </w:tc>
      </w:tr>
      <w:tr w:rsidR="006261A4" w:rsidRPr="006261A4" w14:paraId="6ECD0EBC" w14:textId="77777777" w:rsidTr="002C195E">
        <w:trPr>
          <w:trHeight w:val="913"/>
          <w:jc w:val="center"/>
        </w:trPr>
        <w:tc>
          <w:tcPr>
            <w:tcW w:w="3168" w:type="dxa"/>
            <w:vAlign w:val="center"/>
          </w:tcPr>
          <w:p w14:paraId="696EE58D" w14:textId="77777777" w:rsidR="0043148F" w:rsidRPr="002F1FE3" w:rsidRDefault="0043148F" w:rsidP="00EC4FA3">
            <w:pPr>
              <w:spacing w:beforeLines="80" w:before="192" w:afterLines="80" w:after="192" w:line="276" w:lineRule="auto"/>
              <w:rPr>
                <w:rFonts w:cs="Arial"/>
                <w:sz w:val="20"/>
                <w:szCs w:val="20"/>
              </w:rPr>
            </w:pPr>
            <w:r w:rsidRPr="002F1FE3">
              <w:rPr>
                <w:rFonts w:cs="Arial"/>
                <w:sz w:val="20"/>
                <w:szCs w:val="20"/>
              </w:rPr>
              <w:t>Cooperative Assistance Network</w:t>
            </w:r>
          </w:p>
        </w:tc>
        <w:tc>
          <w:tcPr>
            <w:tcW w:w="1505" w:type="dxa"/>
            <w:vAlign w:val="center"/>
          </w:tcPr>
          <w:p w14:paraId="5E694B88" w14:textId="77777777" w:rsidR="0043148F" w:rsidRPr="002F1FE3" w:rsidRDefault="0043148F" w:rsidP="002B0E48">
            <w:pPr>
              <w:spacing w:beforeLines="80" w:before="192" w:afterLines="80" w:after="192" w:line="276" w:lineRule="auto"/>
              <w:jc w:val="center"/>
              <w:rPr>
                <w:rFonts w:cs="Arial"/>
                <w:sz w:val="20"/>
                <w:szCs w:val="20"/>
              </w:rPr>
            </w:pPr>
            <w:r w:rsidRPr="002F1FE3">
              <w:rPr>
                <w:rFonts w:cs="Arial"/>
                <w:sz w:val="20"/>
                <w:szCs w:val="20"/>
              </w:rPr>
              <w:t>10028405</w:t>
            </w:r>
          </w:p>
        </w:tc>
        <w:tc>
          <w:tcPr>
            <w:tcW w:w="2034" w:type="dxa"/>
            <w:vAlign w:val="center"/>
          </w:tcPr>
          <w:p w14:paraId="08837D2C" w14:textId="2EDCE7FF" w:rsidR="0043148F" w:rsidRPr="002C195E" w:rsidRDefault="002C195E" w:rsidP="002C195E">
            <w:pPr>
              <w:jc w:val="center"/>
              <w:rPr>
                <w:rFonts w:cs="Arial"/>
                <w:sz w:val="20"/>
                <w:szCs w:val="20"/>
              </w:rPr>
            </w:pPr>
            <w:r w:rsidRPr="002C195E">
              <w:rPr>
                <w:rFonts w:cs="Arial"/>
                <w:sz w:val="20"/>
                <w:szCs w:val="20"/>
              </w:rPr>
              <w:t>£1,200</w:t>
            </w:r>
          </w:p>
        </w:tc>
        <w:tc>
          <w:tcPr>
            <w:tcW w:w="2177" w:type="dxa"/>
            <w:vAlign w:val="center"/>
          </w:tcPr>
          <w:p w14:paraId="3765AF84" w14:textId="6F0FCC35" w:rsidR="00793CD8" w:rsidRPr="002C195E" w:rsidRDefault="002C195E" w:rsidP="002C195E">
            <w:pPr>
              <w:jc w:val="center"/>
              <w:rPr>
                <w:rFonts w:cs="Arial"/>
                <w:sz w:val="20"/>
                <w:szCs w:val="20"/>
              </w:rPr>
            </w:pPr>
            <w:r w:rsidRPr="002C195E">
              <w:rPr>
                <w:rFonts w:cs="Arial"/>
                <w:sz w:val="20"/>
                <w:szCs w:val="20"/>
              </w:rPr>
              <w:t>£1,000</w:t>
            </w:r>
          </w:p>
        </w:tc>
        <w:tc>
          <w:tcPr>
            <w:tcW w:w="2451" w:type="dxa"/>
            <w:vAlign w:val="center"/>
          </w:tcPr>
          <w:p w14:paraId="530B2D13" w14:textId="2EE850C7" w:rsidR="0043148F" w:rsidRPr="002C195E" w:rsidRDefault="002C195E" w:rsidP="002C195E">
            <w:pPr>
              <w:jc w:val="center"/>
              <w:rPr>
                <w:rFonts w:cs="Arial"/>
                <w:sz w:val="20"/>
                <w:szCs w:val="20"/>
              </w:rPr>
            </w:pPr>
            <w:r w:rsidRPr="002C195E">
              <w:rPr>
                <w:rFonts w:cs="Arial"/>
                <w:sz w:val="20"/>
                <w:szCs w:val="20"/>
              </w:rPr>
              <w:t>£200</w:t>
            </w:r>
          </w:p>
        </w:tc>
      </w:tr>
      <w:tr w:rsidR="002C195E" w:rsidRPr="006261A4" w14:paraId="1125553C" w14:textId="77777777" w:rsidTr="002C195E">
        <w:trPr>
          <w:trHeight w:val="913"/>
          <w:jc w:val="center"/>
        </w:trPr>
        <w:tc>
          <w:tcPr>
            <w:tcW w:w="3168" w:type="dxa"/>
            <w:vAlign w:val="center"/>
          </w:tcPr>
          <w:p w14:paraId="255617BD" w14:textId="7762274D" w:rsidR="002C195E" w:rsidRPr="002F1FE3" w:rsidRDefault="002C195E" w:rsidP="002C195E">
            <w:pPr>
              <w:spacing w:beforeLines="80" w:before="192" w:afterLines="80" w:after="192" w:line="276" w:lineRule="auto"/>
              <w:rPr>
                <w:rFonts w:cs="Arial"/>
                <w:sz w:val="20"/>
                <w:szCs w:val="20"/>
              </w:rPr>
            </w:pPr>
            <w:r>
              <w:rPr>
                <w:rFonts w:cs="Arial"/>
                <w:sz w:val="20"/>
                <w:szCs w:val="20"/>
              </w:rPr>
              <w:t>Enham Trust</w:t>
            </w:r>
          </w:p>
        </w:tc>
        <w:tc>
          <w:tcPr>
            <w:tcW w:w="1505" w:type="dxa"/>
            <w:vAlign w:val="center"/>
          </w:tcPr>
          <w:p w14:paraId="72D977B0" w14:textId="488D929F" w:rsidR="002C195E" w:rsidRPr="002F1FE3" w:rsidRDefault="002C195E" w:rsidP="002C195E">
            <w:pPr>
              <w:spacing w:beforeLines="80" w:before="192" w:afterLines="80" w:after="192" w:line="276" w:lineRule="auto"/>
              <w:jc w:val="center"/>
              <w:rPr>
                <w:rFonts w:cs="Arial"/>
                <w:sz w:val="20"/>
                <w:szCs w:val="20"/>
              </w:rPr>
            </w:pPr>
            <w:r>
              <w:rPr>
                <w:rFonts w:cs="Arial"/>
                <w:sz w:val="20"/>
                <w:szCs w:val="20"/>
              </w:rPr>
              <w:t>10008920</w:t>
            </w:r>
          </w:p>
        </w:tc>
        <w:tc>
          <w:tcPr>
            <w:tcW w:w="2034" w:type="dxa"/>
            <w:vAlign w:val="center"/>
          </w:tcPr>
          <w:p w14:paraId="1BD18676" w14:textId="50742D5C" w:rsidR="002C195E" w:rsidRPr="002C195E" w:rsidRDefault="002C195E" w:rsidP="002C195E">
            <w:pPr>
              <w:jc w:val="center"/>
              <w:rPr>
                <w:rFonts w:cs="Arial"/>
                <w:sz w:val="20"/>
                <w:szCs w:val="20"/>
              </w:rPr>
            </w:pPr>
            <w:r w:rsidRPr="002C195E">
              <w:rPr>
                <w:sz w:val="20"/>
                <w:szCs w:val="20"/>
              </w:rPr>
              <w:t>£738.48</w:t>
            </w:r>
          </w:p>
        </w:tc>
        <w:tc>
          <w:tcPr>
            <w:tcW w:w="2177" w:type="dxa"/>
            <w:vAlign w:val="center"/>
          </w:tcPr>
          <w:p w14:paraId="50202985" w14:textId="13FD0E79" w:rsidR="002C195E" w:rsidRPr="002C195E" w:rsidRDefault="002C195E" w:rsidP="002C195E">
            <w:pPr>
              <w:jc w:val="center"/>
              <w:rPr>
                <w:rFonts w:cs="Arial"/>
                <w:sz w:val="20"/>
                <w:szCs w:val="20"/>
              </w:rPr>
            </w:pPr>
            <w:r w:rsidRPr="002C195E">
              <w:rPr>
                <w:sz w:val="20"/>
                <w:szCs w:val="20"/>
              </w:rPr>
              <w:t>£591.00</w:t>
            </w:r>
          </w:p>
        </w:tc>
        <w:tc>
          <w:tcPr>
            <w:tcW w:w="2451" w:type="dxa"/>
            <w:vAlign w:val="center"/>
          </w:tcPr>
          <w:p w14:paraId="7CE5A62F" w14:textId="6E20E895" w:rsidR="002C195E" w:rsidRPr="002C195E" w:rsidRDefault="002C195E" w:rsidP="002C195E">
            <w:pPr>
              <w:jc w:val="center"/>
              <w:rPr>
                <w:rFonts w:cs="Arial"/>
                <w:sz w:val="20"/>
                <w:szCs w:val="20"/>
              </w:rPr>
            </w:pPr>
            <w:r w:rsidRPr="002C195E">
              <w:rPr>
                <w:sz w:val="20"/>
                <w:szCs w:val="20"/>
              </w:rPr>
              <w:t>£147.48</w:t>
            </w:r>
          </w:p>
        </w:tc>
      </w:tr>
      <w:tr w:rsidR="002C195E" w:rsidRPr="006261A4" w14:paraId="619942B7" w14:textId="77777777" w:rsidTr="002C195E">
        <w:trPr>
          <w:trHeight w:val="913"/>
          <w:jc w:val="center"/>
        </w:trPr>
        <w:tc>
          <w:tcPr>
            <w:tcW w:w="3168" w:type="dxa"/>
            <w:vAlign w:val="center"/>
          </w:tcPr>
          <w:p w14:paraId="4BBB4486"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Itchen College</w:t>
            </w:r>
          </w:p>
        </w:tc>
        <w:tc>
          <w:tcPr>
            <w:tcW w:w="1505" w:type="dxa"/>
            <w:vAlign w:val="center"/>
          </w:tcPr>
          <w:p w14:paraId="6A4096D4"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10003427</w:t>
            </w:r>
          </w:p>
        </w:tc>
        <w:tc>
          <w:tcPr>
            <w:tcW w:w="2034" w:type="dxa"/>
            <w:vAlign w:val="center"/>
          </w:tcPr>
          <w:p w14:paraId="4AE72E2A" w14:textId="7F8797E8" w:rsidR="002C195E" w:rsidRPr="002C195E" w:rsidRDefault="002C195E" w:rsidP="002C195E">
            <w:pPr>
              <w:jc w:val="center"/>
              <w:rPr>
                <w:rFonts w:cs="Arial"/>
                <w:sz w:val="20"/>
                <w:szCs w:val="20"/>
              </w:rPr>
            </w:pPr>
            <w:r w:rsidRPr="002C195E">
              <w:rPr>
                <w:sz w:val="20"/>
                <w:szCs w:val="20"/>
              </w:rPr>
              <w:t>£36,351.24</w:t>
            </w:r>
          </w:p>
        </w:tc>
        <w:tc>
          <w:tcPr>
            <w:tcW w:w="2177" w:type="dxa"/>
            <w:vAlign w:val="center"/>
          </w:tcPr>
          <w:p w14:paraId="21E2D15C" w14:textId="0FDBA22F" w:rsidR="002C195E" w:rsidRPr="002C195E" w:rsidRDefault="002C195E" w:rsidP="002C195E">
            <w:pPr>
              <w:jc w:val="center"/>
              <w:rPr>
                <w:rFonts w:cs="Arial"/>
                <w:sz w:val="20"/>
                <w:szCs w:val="20"/>
              </w:rPr>
            </w:pPr>
            <w:r w:rsidRPr="002C195E">
              <w:rPr>
                <w:sz w:val="20"/>
                <w:szCs w:val="20"/>
              </w:rPr>
              <w:t>£29,081.00</w:t>
            </w:r>
          </w:p>
        </w:tc>
        <w:tc>
          <w:tcPr>
            <w:tcW w:w="2451" w:type="dxa"/>
            <w:vAlign w:val="center"/>
          </w:tcPr>
          <w:p w14:paraId="15867092" w14:textId="77E9A523" w:rsidR="002C195E" w:rsidRPr="002C195E" w:rsidRDefault="002C195E" w:rsidP="002C195E">
            <w:pPr>
              <w:jc w:val="center"/>
              <w:rPr>
                <w:rFonts w:cs="Arial"/>
                <w:sz w:val="20"/>
                <w:szCs w:val="20"/>
              </w:rPr>
            </w:pPr>
            <w:r w:rsidRPr="002C195E">
              <w:rPr>
                <w:sz w:val="20"/>
                <w:szCs w:val="20"/>
              </w:rPr>
              <w:t>£7,270.24</w:t>
            </w:r>
          </w:p>
        </w:tc>
      </w:tr>
      <w:tr w:rsidR="002C195E" w:rsidRPr="006261A4" w14:paraId="7A17F56D" w14:textId="77777777" w:rsidTr="002C195E">
        <w:trPr>
          <w:trHeight w:val="913"/>
          <w:jc w:val="center"/>
        </w:trPr>
        <w:tc>
          <w:tcPr>
            <w:tcW w:w="3168" w:type="dxa"/>
            <w:vAlign w:val="center"/>
          </w:tcPr>
          <w:p w14:paraId="4FA150BA"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Mayflower Theatre</w:t>
            </w:r>
          </w:p>
        </w:tc>
        <w:tc>
          <w:tcPr>
            <w:tcW w:w="1505" w:type="dxa"/>
            <w:vAlign w:val="center"/>
          </w:tcPr>
          <w:p w14:paraId="7AA2DF23"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10054446</w:t>
            </w:r>
          </w:p>
        </w:tc>
        <w:tc>
          <w:tcPr>
            <w:tcW w:w="2034" w:type="dxa"/>
            <w:vAlign w:val="center"/>
          </w:tcPr>
          <w:p w14:paraId="55572D50" w14:textId="5971152B" w:rsidR="002C195E" w:rsidRPr="002C195E" w:rsidRDefault="002C195E" w:rsidP="002C195E">
            <w:pPr>
              <w:jc w:val="center"/>
              <w:rPr>
                <w:rFonts w:cs="Arial"/>
                <w:sz w:val="20"/>
                <w:szCs w:val="20"/>
              </w:rPr>
            </w:pPr>
            <w:r w:rsidRPr="002C195E">
              <w:rPr>
                <w:sz w:val="20"/>
                <w:szCs w:val="20"/>
              </w:rPr>
              <w:t>£8,441.41</w:t>
            </w:r>
          </w:p>
        </w:tc>
        <w:tc>
          <w:tcPr>
            <w:tcW w:w="2177" w:type="dxa"/>
            <w:vAlign w:val="center"/>
          </w:tcPr>
          <w:p w14:paraId="0C72299C" w14:textId="6245EA5C" w:rsidR="002C195E" w:rsidRPr="002C195E" w:rsidRDefault="002C195E" w:rsidP="002C195E">
            <w:pPr>
              <w:jc w:val="center"/>
              <w:rPr>
                <w:rFonts w:cs="Arial"/>
                <w:sz w:val="20"/>
                <w:szCs w:val="20"/>
              </w:rPr>
            </w:pPr>
            <w:r w:rsidRPr="002C195E">
              <w:rPr>
                <w:sz w:val="20"/>
                <w:szCs w:val="20"/>
              </w:rPr>
              <w:t>£6,753.13</w:t>
            </w:r>
          </w:p>
        </w:tc>
        <w:tc>
          <w:tcPr>
            <w:tcW w:w="2451" w:type="dxa"/>
            <w:vAlign w:val="center"/>
          </w:tcPr>
          <w:p w14:paraId="12B30D75" w14:textId="2F3CC029" w:rsidR="002C195E" w:rsidRPr="002C195E" w:rsidRDefault="002C195E" w:rsidP="002C195E">
            <w:pPr>
              <w:jc w:val="center"/>
              <w:rPr>
                <w:rFonts w:cs="Arial"/>
                <w:sz w:val="20"/>
                <w:szCs w:val="20"/>
              </w:rPr>
            </w:pPr>
            <w:r w:rsidRPr="002C195E">
              <w:rPr>
                <w:sz w:val="20"/>
                <w:szCs w:val="20"/>
              </w:rPr>
              <w:t>£1,688.28</w:t>
            </w:r>
          </w:p>
        </w:tc>
      </w:tr>
      <w:tr w:rsidR="002C195E" w:rsidRPr="006261A4" w14:paraId="3C1965AF" w14:textId="77777777" w:rsidTr="002C195E">
        <w:trPr>
          <w:trHeight w:val="913"/>
          <w:jc w:val="center"/>
        </w:trPr>
        <w:tc>
          <w:tcPr>
            <w:tcW w:w="3168" w:type="dxa"/>
            <w:vAlign w:val="center"/>
          </w:tcPr>
          <w:p w14:paraId="042F5215"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Mencap</w:t>
            </w:r>
          </w:p>
        </w:tc>
        <w:tc>
          <w:tcPr>
            <w:tcW w:w="1505" w:type="dxa"/>
            <w:vAlign w:val="center"/>
          </w:tcPr>
          <w:p w14:paraId="266CB04B"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10082032</w:t>
            </w:r>
          </w:p>
        </w:tc>
        <w:tc>
          <w:tcPr>
            <w:tcW w:w="2034" w:type="dxa"/>
            <w:vAlign w:val="center"/>
          </w:tcPr>
          <w:p w14:paraId="32B3FDB8" w14:textId="0430D588" w:rsidR="002C195E" w:rsidRPr="002C195E" w:rsidRDefault="002C195E" w:rsidP="002C195E">
            <w:pPr>
              <w:jc w:val="center"/>
              <w:rPr>
                <w:rFonts w:cs="Arial"/>
                <w:sz w:val="20"/>
                <w:szCs w:val="20"/>
              </w:rPr>
            </w:pPr>
            <w:r w:rsidRPr="002C195E">
              <w:rPr>
                <w:sz w:val="20"/>
                <w:szCs w:val="20"/>
              </w:rPr>
              <w:t>£1,272.73</w:t>
            </w:r>
          </w:p>
        </w:tc>
        <w:tc>
          <w:tcPr>
            <w:tcW w:w="2177" w:type="dxa"/>
            <w:vAlign w:val="center"/>
          </w:tcPr>
          <w:p w14:paraId="3E1958D5" w14:textId="607C6519" w:rsidR="002C195E" w:rsidRPr="002C195E" w:rsidRDefault="002C195E" w:rsidP="002C195E">
            <w:pPr>
              <w:jc w:val="center"/>
              <w:rPr>
                <w:rFonts w:cs="Arial"/>
                <w:sz w:val="20"/>
                <w:szCs w:val="20"/>
              </w:rPr>
            </w:pPr>
            <w:r w:rsidRPr="002C195E">
              <w:rPr>
                <w:sz w:val="20"/>
                <w:szCs w:val="20"/>
              </w:rPr>
              <w:t>£1,018.18</w:t>
            </w:r>
          </w:p>
        </w:tc>
        <w:tc>
          <w:tcPr>
            <w:tcW w:w="2451" w:type="dxa"/>
            <w:vAlign w:val="center"/>
          </w:tcPr>
          <w:p w14:paraId="6D71A6D0" w14:textId="1F3F4DBF" w:rsidR="002C195E" w:rsidRPr="002C195E" w:rsidRDefault="002C195E" w:rsidP="002C195E">
            <w:pPr>
              <w:jc w:val="center"/>
              <w:rPr>
                <w:rFonts w:cs="Arial"/>
                <w:sz w:val="20"/>
                <w:szCs w:val="20"/>
              </w:rPr>
            </w:pPr>
            <w:r w:rsidRPr="002C195E">
              <w:rPr>
                <w:sz w:val="20"/>
                <w:szCs w:val="20"/>
              </w:rPr>
              <w:t>£254.55</w:t>
            </w:r>
          </w:p>
        </w:tc>
      </w:tr>
      <w:tr w:rsidR="002C195E" w:rsidRPr="006261A4" w14:paraId="1EC045FA" w14:textId="77777777" w:rsidTr="002C195E">
        <w:trPr>
          <w:trHeight w:val="913"/>
          <w:jc w:val="center"/>
        </w:trPr>
        <w:tc>
          <w:tcPr>
            <w:tcW w:w="3168" w:type="dxa"/>
            <w:vAlign w:val="center"/>
          </w:tcPr>
          <w:p w14:paraId="355EC89C"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No Limits</w:t>
            </w:r>
          </w:p>
        </w:tc>
        <w:tc>
          <w:tcPr>
            <w:tcW w:w="1505" w:type="dxa"/>
            <w:vAlign w:val="center"/>
          </w:tcPr>
          <w:p w14:paraId="1042E0F1"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10048662</w:t>
            </w:r>
          </w:p>
        </w:tc>
        <w:tc>
          <w:tcPr>
            <w:tcW w:w="2034" w:type="dxa"/>
            <w:vAlign w:val="center"/>
          </w:tcPr>
          <w:p w14:paraId="70BC2FFA" w14:textId="5A964DCF" w:rsidR="002C195E" w:rsidRPr="002C195E" w:rsidRDefault="002C195E" w:rsidP="002C195E">
            <w:pPr>
              <w:jc w:val="center"/>
              <w:rPr>
                <w:rFonts w:cs="Arial"/>
                <w:sz w:val="20"/>
                <w:szCs w:val="20"/>
              </w:rPr>
            </w:pPr>
            <w:r w:rsidRPr="002C195E">
              <w:rPr>
                <w:sz w:val="20"/>
                <w:szCs w:val="20"/>
              </w:rPr>
              <w:t>£3,490.58</w:t>
            </w:r>
          </w:p>
        </w:tc>
        <w:tc>
          <w:tcPr>
            <w:tcW w:w="2177" w:type="dxa"/>
            <w:vAlign w:val="center"/>
          </w:tcPr>
          <w:p w14:paraId="7E896D06" w14:textId="5333EB98" w:rsidR="002C195E" w:rsidRPr="002C195E" w:rsidRDefault="002C195E" w:rsidP="002C195E">
            <w:pPr>
              <w:jc w:val="center"/>
              <w:rPr>
                <w:rFonts w:cs="Arial"/>
                <w:sz w:val="20"/>
                <w:szCs w:val="20"/>
              </w:rPr>
            </w:pPr>
            <w:r w:rsidRPr="002C195E">
              <w:rPr>
                <w:sz w:val="20"/>
                <w:szCs w:val="20"/>
              </w:rPr>
              <w:t>£2,792.47</w:t>
            </w:r>
          </w:p>
        </w:tc>
        <w:tc>
          <w:tcPr>
            <w:tcW w:w="2451" w:type="dxa"/>
            <w:vAlign w:val="center"/>
          </w:tcPr>
          <w:p w14:paraId="79286BE6" w14:textId="09E2078E" w:rsidR="002C195E" w:rsidRPr="002C195E" w:rsidRDefault="002C195E" w:rsidP="002C195E">
            <w:pPr>
              <w:jc w:val="center"/>
              <w:rPr>
                <w:rFonts w:cs="Arial"/>
                <w:sz w:val="20"/>
                <w:szCs w:val="20"/>
              </w:rPr>
            </w:pPr>
            <w:r w:rsidRPr="002C195E">
              <w:rPr>
                <w:sz w:val="20"/>
                <w:szCs w:val="20"/>
              </w:rPr>
              <w:t>£698.11</w:t>
            </w:r>
          </w:p>
        </w:tc>
      </w:tr>
      <w:tr w:rsidR="002C195E" w:rsidRPr="006261A4" w14:paraId="261C8F93" w14:textId="77777777" w:rsidTr="002C195E">
        <w:trPr>
          <w:trHeight w:val="913"/>
          <w:jc w:val="center"/>
        </w:trPr>
        <w:tc>
          <w:tcPr>
            <w:tcW w:w="3168" w:type="dxa"/>
            <w:vAlign w:val="center"/>
          </w:tcPr>
          <w:p w14:paraId="08272BF6" w14:textId="11BB6CEE" w:rsidR="002C195E" w:rsidRPr="002F1FE3" w:rsidRDefault="002C195E" w:rsidP="002C195E">
            <w:pPr>
              <w:spacing w:beforeLines="80" w:before="192" w:afterLines="80" w:after="192" w:line="276" w:lineRule="auto"/>
              <w:rPr>
                <w:rFonts w:cs="Arial"/>
                <w:sz w:val="20"/>
                <w:szCs w:val="20"/>
              </w:rPr>
            </w:pPr>
            <w:r>
              <w:rPr>
                <w:rFonts w:cs="Arial"/>
                <w:sz w:val="20"/>
                <w:szCs w:val="20"/>
              </w:rPr>
              <w:t>SoCo Music Project</w:t>
            </w:r>
          </w:p>
        </w:tc>
        <w:tc>
          <w:tcPr>
            <w:tcW w:w="1505" w:type="dxa"/>
            <w:vAlign w:val="center"/>
          </w:tcPr>
          <w:p w14:paraId="61CE3742" w14:textId="16962619" w:rsidR="002C195E" w:rsidRPr="002F1FE3" w:rsidRDefault="002C195E" w:rsidP="002C195E">
            <w:pPr>
              <w:spacing w:beforeLines="80" w:before="192" w:afterLines="80" w:after="192" w:line="276" w:lineRule="auto"/>
              <w:jc w:val="center"/>
              <w:rPr>
                <w:rFonts w:cs="Arial"/>
                <w:sz w:val="20"/>
                <w:szCs w:val="20"/>
              </w:rPr>
            </w:pPr>
            <w:r>
              <w:rPr>
                <w:rFonts w:cs="Arial"/>
                <w:sz w:val="20"/>
                <w:szCs w:val="20"/>
              </w:rPr>
              <w:t>10045217</w:t>
            </w:r>
          </w:p>
        </w:tc>
        <w:tc>
          <w:tcPr>
            <w:tcW w:w="2034" w:type="dxa"/>
            <w:vAlign w:val="center"/>
          </w:tcPr>
          <w:p w14:paraId="3F2AD656" w14:textId="3F488430" w:rsidR="002C195E" w:rsidRPr="002C195E" w:rsidRDefault="002C195E" w:rsidP="002C195E">
            <w:pPr>
              <w:jc w:val="center"/>
              <w:rPr>
                <w:rFonts w:cs="Arial"/>
                <w:sz w:val="20"/>
                <w:szCs w:val="20"/>
              </w:rPr>
            </w:pPr>
            <w:r w:rsidRPr="002C195E">
              <w:rPr>
                <w:sz w:val="20"/>
                <w:szCs w:val="20"/>
              </w:rPr>
              <w:t>£16,493.75</w:t>
            </w:r>
          </w:p>
        </w:tc>
        <w:tc>
          <w:tcPr>
            <w:tcW w:w="2177" w:type="dxa"/>
            <w:vAlign w:val="center"/>
          </w:tcPr>
          <w:p w14:paraId="696D88A4" w14:textId="5C0408B7" w:rsidR="002C195E" w:rsidRPr="002C195E" w:rsidRDefault="002C195E" w:rsidP="002C195E">
            <w:pPr>
              <w:jc w:val="center"/>
              <w:rPr>
                <w:rFonts w:cs="Arial"/>
                <w:sz w:val="20"/>
                <w:szCs w:val="20"/>
              </w:rPr>
            </w:pPr>
            <w:r w:rsidRPr="002C195E">
              <w:rPr>
                <w:sz w:val="20"/>
                <w:szCs w:val="20"/>
              </w:rPr>
              <w:t>£13,195.00</w:t>
            </w:r>
          </w:p>
        </w:tc>
        <w:tc>
          <w:tcPr>
            <w:tcW w:w="2451" w:type="dxa"/>
            <w:vAlign w:val="center"/>
          </w:tcPr>
          <w:p w14:paraId="2A1FEEE5" w14:textId="21CF482C" w:rsidR="002C195E" w:rsidRPr="002C195E" w:rsidRDefault="002C195E" w:rsidP="002C195E">
            <w:pPr>
              <w:jc w:val="center"/>
              <w:rPr>
                <w:rFonts w:cs="Arial"/>
                <w:sz w:val="20"/>
                <w:szCs w:val="20"/>
              </w:rPr>
            </w:pPr>
            <w:r w:rsidRPr="002C195E">
              <w:rPr>
                <w:sz w:val="20"/>
                <w:szCs w:val="20"/>
              </w:rPr>
              <w:t>£3,298.75</w:t>
            </w:r>
          </w:p>
        </w:tc>
      </w:tr>
      <w:tr w:rsidR="002C195E" w:rsidRPr="006261A4" w14:paraId="3793B9CC" w14:textId="77777777" w:rsidTr="002C195E">
        <w:trPr>
          <w:trHeight w:val="913"/>
          <w:jc w:val="center"/>
        </w:trPr>
        <w:tc>
          <w:tcPr>
            <w:tcW w:w="3168" w:type="dxa"/>
            <w:vAlign w:val="center"/>
          </w:tcPr>
          <w:p w14:paraId="51493F31"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Southampton City College</w:t>
            </w:r>
          </w:p>
        </w:tc>
        <w:tc>
          <w:tcPr>
            <w:tcW w:w="1505" w:type="dxa"/>
            <w:vAlign w:val="center"/>
          </w:tcPr>
          <w:p w14:paraId="020A1D8F"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10006020</w:t>
            </w:r>
          </w:p>
        </w:tc>
        <w:tc>
          <w:tcPr>
            <w:tcW w:w="2034" w:type="dxa"/>
            <w:vAlign w:val="center"/>
          </w:tcPr>
          <w:p w14:paraId="591CB9DC" w14:textId="0112BE33" w:rsidR="002C195E" w:rsidRPr="002C195E" w:rsidRDefault="002C195E" w:rsidP="002C195E">
            <w:pPr>
              <w:jc w:val="center"/>
              <w:rPr>
                <w:rFonts w:cs="Arial"/>
                <w:sz w:val="20"/>
                <w:szCs w:val="20"/>
              </w:rPr>
            </w:pPr>
            <w:r w:rsidRPr="002C195E">
              <w:rPr>
                <w:sz w:val="20"/>
                <w:szCs w:val="20"/>
              </w:rPr>
              <w:t>£48,869.10</w:t>
            </w:r>
          </w:p>
        </w:tc>
        <w:tc>
          <w:tcPr>
            <w:tcW w:w="2177" w:type="dxa"/>
            <w:vAlign w:val="center"/>
          </w:tcPr>
          <w:p w14:paraId="3E130EA2" w14:textId="4717540A" w:rsidR="002C195E" w:rsidRPr="002C195E" w:rsidRDefault="002C195E" w:rsidP="002C195E">
            <w:pPr>
              <w:jc w:val="center"/>
              <w:rPr>
                <w:rFonts w:cs="Arial"/>
                <w:sz w:val="20"/>
                <w:szCs w:val="20"/>
              </w:rPr>
            </w:pPr>
            <w:r w:rsidRPr="002C195E">
              <w:rPr>
                <w:sz w:val="20"/>
                <w:szCs w:val="20"/>
              </w:rPr>
              <w:t>£39,095.28</w:t>
            </w:r>
          </w:p>
        </w:tc>
        <w:tc>
          <w:tcPr>
            <w:tcW w:w="2451" w:type="dxa"/>
            <w:vAlign w:val="center"/>
          </w:tcPr>
          <w:p w14:paraId="7C2521EF" w14:textId="64FFCF3C" w:rsidR="002C195E" w:rsidRPr="002C195E" w:rsidRDefault="002C195E" w:rsidP="002C195E">
            <w:pPr>
              <w:jc w:val="center"/>
              <w:rPr>
                <w:rFonts w:cs="Arial"/>
                <w:sz w:val="20"/>
                <w:szCs w:val="20"/>
              </w:rPr>
            </w:pPr>
            <w:r w:rsidRPr="002C195E">
              <w:rPr>
                <w:sz w:val="20"/>
                <w:szCs w:val="20"/>
              </w:rPr>
              <w:t>£9,773.82</w:t>
            </w:r>
          </w:p>
        </w:tc>
      </w:tr>
      <w:tr w:rsidR="002C195E" w:rsidRPr="006261A4" w14:paraId="46D42FE0" w14:textId="77777777" w:rsidTr="002C195E">
        <w:trPr>
          <w:trHeight w:val="913"/>
          <w:jc w:val="center"/>
        </w:trPr>
        <w:tc>
          <w:tcPr>
            <w:tcW w:w="3168" w:type="dxa"/>
            <w:vAlign w:val="center"/>
          </w:tcPr>
          <w:p w14:paraId="394B9735"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TWICS</w:t>
            </w:r>
          </w:p>
        </w:tc>
        <w:tc>
          <w:tcPr>
            <w:tcW w:w="1505" w:type="dxa"/>
            <w:vAlign w:val="center"/>
          </w:tcPr>
          <w:p w14:paraId="23F4ACC3"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10007090</w:t>
            </w:r>
          </w:p>
        </w:tc>
        <w:tc>
          <w:tcPr>
            <w:tcW w:w="2034" w:type="dxa"/>
            <w:vAlign w:val="center"/>
          </w:tcPr>
          <w:p w14:paraId="7C948CE1" w14:textId="44BE20AA" w:rsidR="002C195E" w:rsidRPr="002C195E" w:rsidRDefault="002C195E" w:rsidP="002C195E">
            <w:pPr>
              <w:jc w:val="center"/>
              <w:rPr>
                <w:rFonts w:cs="Arial"/>
                <w:sz w:val="20"/>
                <w:szCs w:val="20"/>
              </w:rPr>
            </w:pPr>
            <w:r w:rsidRPr="002C195E">
              <w:rPr>
                <w:sz w:val="20"/>
                <w:szCs w:val="20"/>
              </w:rPr>
              <w:t>£27,828.75</w:t>
            </w:r>
          </w:p>
        </w:tc>
        <w:tc>
          <w:tcPr>
            <w:tcW w:w="2177" w:type="dxa"/>
            <w:vAlign w:val="center"/>
          </w:tcPr>
          <w:p w14:paraId="69ED7DFC" w14:textId="4CF7FADD" w:rsidR="002C195E" w:rsidRPr="002C195E" w:rsidRDefault="002C195E" w:rsidP="002C195E">
            <w:pPr>
              <w:jc w:val="center"/>
              <w:rPr>
                <w:rFonts w:cs="Arial"/>
                <w:sz w:val="20"/>
                <w:szCs w:val="20"/>
              </w:rPr>
            </w:pPr>
            <w:r w:rsidRPr="002C195E">
              <w:rPr>
                <w:sz w:val="20"/>
                <w:szCs w:val="20"/>
              </w:rPr>
              <w:t>£22,263.00</w:t>
            </w:r>
          </w:p>
        </w:tc>
        <w:tc>
          <w:tcPr>
            <w:tcW w:w="2451" w:type="dxa"/>
            <w:vAlign w:val="center"/>
          </w:tcPr>
          <w:p w14:paraId="57071C44" w14:textId="605FD9B5" w:rsidR="002C195E" w:rsidRPr="002C195E" w:rsidRDefault="002C195E" w:rsidP="002C195E">
            <w:pPr>
              <w:jc w:val="center"/>
              <w:rPr>
                <w:rFonts w:cs="Arial"/>
                <w:sz w:val="20"/>
                <w:szCs w:val="20"/>
              </w:rPr>
            </w:pPr>
            <w:r w:rsidRPr="002C195E">
              <w:rPr>
                <w:sz w:val="20"/>
                <w:szCs w:val="20"/>
              </w:rPr>
              <w:t>£5,565.75</w:t>
            </w:r>
          </w:p>
        </w:tc>
      </w:tr>
      <w:tr w:rsidR="002C195E" w:rsidRPr="006261A4" w14:paraId="52DD7E13" w14:textId="77777777" w:rsidTr="002C195E">
        <w:trPr>
          <w:trHeight w:val="913"/>
          <w:jc w:val="center"/>
        </w:trPr>
        <w:tc>
          <w:tcPr>
            <w:tcW w:w="3168" w:type="dxa"/>
            <w:vAlign w:val="center"/>
          </w:tcPr>
          <w:p w14:paraId="553D6FAD" w14:textId="77777777" w:rsidR="002C195E" w:rsidRPr="002F1FE3" w:rsidRDefault="002C195E" w:rsidP="002C195E">
            <w:pPr>
              <w:spacing w:beforeLines="80" w:before="192" w:afterLines="80" w:after="192" w:line="276" w:lineRule="auto"/>
              <w:rPr>
                <w:rFonts w:cs="Arial"/>
                <w:sz w:val="20"/>
                <w:szCs w:val="20"/>
              </w:rPr>
            </w:pPr>
            <w:r w:rsidRPr="002F1FE3">
              <w:rPr>
                <w:rFonts w:cs="Arial"/>
                <w:sz w:val="20"/>
                <w:szCs w:val="20"/>
              </w:rPr>
              <w:t>WEA</w:t>
            </w:r>
          </w:p>
        </w:tc>
        <w:tc>
          <w:tcPr>
            <w:tcW w:w="1505" w:type="dxa"/>
            <w:vAlign w:val="center"/>
          </w:tcPr>
          <w:p w14:paraId="30F22EBE" w14:textId="77777777"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10007364</w:t>
            </w:r>
          </w:p>
        </w:tc>
        <w:tc>
          <w:tcPr>
            <w:tcW w:w="2034" w:type="dxa"/>
            <w:vAlign w:val="center"/>
          </w:tcPr>
          <w:p w14:paraId="55F80245" w14:textId="582FE465" w:rsidR="002C195E" w:rsidRPr="002C195E" w:rsidRDefault="002C195E" w:rsidP="002C195E">
            <w:pPr>
              <w:jc w:val="center"/>
              <w:rPr>
                <w:rFonts w:cs="Arial"/>
                <w:sz w:val="20"/>
                <w:szCs w:val="20"/>
              </w:rPr>
            </w:pPr>
            <w:r w:rsidRPr="002C195E">
              <w:rPr>
                <w:sz w:val="20"/>
                <w:szCs w:val="20"/>
              </w:rPr>
              <w:t>£1,957.50</w:t>
            </w:r>
          </w:p>
        </w:tc>
        <w:tc>
          <w:tcPr>
            <w:tcW w:w="2177" w:type="dxa"/>
            <w:vAlign w:val="center"/>
          </w:tcPr>
          <w:p w14:paraId="267BE357" w14:textId="4059E942" w:rsidR="002C195E" w:rsidRPr="002C195E" w:rsidRDefault="002C195E" w:rsidP="002C195E">
            <w:pPr>
              <w:jc w:val="center"/>
              <w:rPr>
                <w:rFonts w:cs="Arial"/>
                <w:sz w:val="20"/>
                <w:szCs w:val="20"/>
              </w:rPr>
            </w:pPr>
            <w:r w:rsidRPr="002C195E">
              <w:rPr>
                <w:sz w:val="20"/>
                <w:szCs w:val="20"/>
              </w:rPr>
              <w:t>£1,566.00</w:t>
            </w:r>
          </w:p>
        </w:tc>
        <w:tc>
          <w:tcPr>
            <w:tcW w:w="2451" w:type="dxa"/>
            <w:vAlign w:val="center"/>
          </w:tcPr>
          <w:p w14:paraId="79CD4503" w14:textId="54565866" w:rsidR="002C195E" w:rsidRPr="002C195E" w:rsidRDefault="002C195E" w:rsidP="002C195E">
            <w:pPr>
              <w:jc w:val="center"/>
              <w:rPr>
                <w:rFonts w:cs="Arial"/>
                <w:sz w:val="20"/>
                <w:szCs w:val="20"/>
              </w:rPr>
            </w:pPr>
            <w:r w:rsidRPr="002C195E">
              <w:rPr>
                <w:sz w:val="20"/>
                <w:szCs w:val="20"/>
              </w:rPr>
              <w:t>£391.50</w:t>
            </w:r>
          </w:p>
        </w:tc>
      </w:tr>
      <w:tr w:rsidR="002C195E" w:rsidRPr="006261A4" w14:paraId="529E1C74" w14:textId="77777777" w:rsidTr="002C195E">
        <w:trPr>
          <w:trHeight w:val="913"/>
          <w:jc w:val="center"/>
        </w:trPr>
        <w:tc>
          <w:tcPr>
            <w:tcW w:w="3168" w:type="dxa"/>
            <w:vAlign w:val="center"/>
          </w:tcPr>
          <w:p w14:paraId="0386CA52" w14:textId="3F1FAC70" w:rsidR="002C195E" w:rsidRPr="002F1FE3" w:rsidRDefault="002C195E" w:rsidP="002C195E">
            <w:pPr>
              <w:spacing w:beforeLines="80" w:before="192" w:afterLines="80" w:after="192" w:line="276" w:lineRule="auto"/>
              <w:rPr>
                <w:rFonts w:cs="Arial"/>
                <w:sz w:val="20"/>
                <w:szCs w:val="20"/>
              </w:rPr>
            </w:pPr>
            <w:r>
              <w:rPr>
                <w:rFonts w:cs="Arial"/>
                <w:sz w:val="20"/>
                <w:szCs w:val="20"/>
              </w:rPr>
              <w:lastRenderedPageBreak/>
              <w:t>We Can Train Ltd</w:t>
            </w:r>
          </w:p>
        </w:tc>
        <w:tc>
          <w:tcPr>
            <w:tcW w:w="1505" w:type="dxa"/>
            <w:vAlign w:val="center"/>
          </w:tcPr>
          <w:p w14:paraId="650C6A47" w14:textId="0EA1E47F" w:rsidR="002C195E" w:rsidRPr="002F1FE3" w:rsidRDefault="002C195E" w:rsidP="002C195E">
            <w:pPr>
              <w:spacing w:beforeLines="80" w:before="192" w:afterLines="80" w:after="192" w:line="276" w:lineRule="auto"/>
              <w:jc w:val="center"/>
              <w:rPr>
                <w:rFonts w:cs="Arial"/>
                <w:sz w:val="20"/>
                <w:szCs w:val="20"/>
              </w:rPr>
            </w:pPr>
            <w:r w:rsidRPr="002F1FE3">
              <w:rPr>
                <w:rFonts w:cs="Arial"/>
                <w:sz w:val="20"/>
                <w:szCs w:val="20"/>
              </w:rPr>
              <w:t>10085619</w:t>
            </w:r>
          </w:p>
        </w:tc>
        <w:tc>
          <w:tcPr>
            <w:tcW w:w="2034" w:type="dxa"/>
            <w:vAlign w:val="center"/>
          </w:tcPr>
          <w:p w14:paraId="2856125E" w14:textId="6F3F14F3" w:rsidR="002C195E" w:rsidRPr="002C195E" w:rsidRDefault="002C195E" w:rsidP="002C195E">
            <w:pPr>
              <w:jc w:val="center"/>
              <w:rPr>
                <w:rFonts w:cs="Arial"/>
                <w:color w:val="FF0000"/>
                <w:sz w:val="20"/>
                <w:szCs w:val="20"/>
              </w:rPr>
            </w:pPr>
            <w:r w:rsidRPr="002C195E">
              <w:rPr>
                <w:sz w:val="20"/>
                <w:szCs w:val="20"/>
              </w:rPr>
              <w:t>£43,841.26</w:t>
            </w:r>
          </w:p>
        </w:tc>
        <w:tc>
          <w:tcPr>
            <w:tcW w:w="2177" w:type="dxa"/>
            <w:vAlign w:val="center"/>
          </w:tcPr>
          <w:p w14:paraId="090B5B32" w14:textId="6213A231" w:rsidR="002C195E" w:rsidRPr="002C195E" w:rsidRDefault="002C195E" w:rsidP="002C195E">
            <w:pPr>
              <w:jc w:val="center"/>
              <w:rPr>
                <w:rFonts w:cs="Arial"/>
                <w:color w:val="FF0000"/>
                <w:sz w:val="20"/>
                <w:szCs w:val="20"/>
              </w:rPr>
            </w:pPr>
            <w:r w:rsidRPr="002C195E">
              <w:rPr>
                <w:sz w:val="20"/>
                <w:szCs w:val="20"/>
              </w:rPr>
              <w:t>£35,073.00</w:t>
            </w:r>
          </w:p>
        </w:tc>
        <w:tc>
          <w:tcPr>
            <w:tcW w:w="2451" w:type="dxa"/>
            <w:vAlign w:val="center"/>
          </w:tcPr>
          <w:p w14:paraId="13B645BD" w14:textId="26420BA4" w:rsidR="002C195E" w:rsidRPr="002C195E" w:rsidRDefault="002C195E" w:rsidP="002C195E">
            <w:pPr>
              <w:jc w:val="center"/>
              <w:rPr>
                <w:rFonts w:cs="Arial"/>
                <w:color w:val="FF0000"/>
                <w:sz w:val="20"/>
                <w:szCs w:val="20"/>
              </w:rPr>
            </w:pPr>
            <w:r w:rsidRPr="002C195E">
              <w:rPr>
                <w:sz w:val="20"/>
                <w:szCs w:val="20"/>
              </w:rPr>
              <w:t>£8,768.26</w:t>
            </w:r>
          </w:p>
        </w:tc>
      </w:tr>
    </w:tbl>
    <w:p w14:paraId="163A6DA8" w14:textId="77777777" w:rsidR="00041EE0" w:rsidRPr="006261A4" w:rsidRDefault="00041EE0" w:rsidP="008A45C7">
      <w:pPr>
        <w:spacing w:beforeLines="80" w:before="192" w:afterLines="80" w:after="192" w:line="288" w:lineRule="auto"/>
        <w:contextualSpacing/>
        <w:rPr>
          <w:rFonts w:cs="Arial"/>
          <w:color w:val="FF0000"/>
        </w:rPr>
      </w:pPr>
    </w:p>
    <w:sectPr w:rsidR="00041EE0" w:rsidRPr="006261A4" w:rsidSect="00C32DD3">
      <w:headerReference w:type="first" r:id="rId18"/>
      <w:pgSz w:w="11906" w:h="16838" w:code="9"/>
      <w:pgMar w:top="1134" w:right="426" w:bottom="1021" w:left="28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96D3" w14:textId="77777777" w:rsidR="0003118F" w:rsidRDefault="0003118F">
      <w:r>
        <w:separator/>
      </w:r>
    </w:p>
  </w:endnote>
  <w:endnote w:type="continuationSeparator" w:id="0">
    <w:p w14:paraId="0E352844" w14:textId="77777777" w:rsidR="0003118F" w:rsidRDefault="000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3D48" w14:textId="77777777" w:rsidR="006422BB" w:rsidRDefault="0064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35F5" w14:textId="77777777" w:rsidR="006422BB" w:rsidRDefault="00642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86D" w14:textId="77777777" w:rsidR="006422BB" w:rsidRDefault="0064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75D6" w14:textId="77777777" w:rsidR="0003118F" w:rsidRDefault="0003118F">
      <w:r>
        <w:separator/>
      </w:r>
    </w:p>
  </w:footnote>
  <w:footnote w:type="continuationSeparator" w:id="0">
    <w:p w14:paraId="7821A94C" w14:textId="77777777" w:rsidR="0003118F" w:rsidRDefault="0003118F">
      <w:r>
        <w:continuationSeparator/>
      </w:r>
    </w:p>
  </w:footnote>
  <w:footnote w:id="1">
    <w:p w14:paraId="0B46C2E3" w14:textId="5B9D104C" w:rsidR="0043148F" w:rsidRDefault="0043148F" w:rsidP="00983D34">
      <w:pPr>
        <w:pStyle w:val="FootnoteText"/>
      </w:pPr>
      <w:r>
        <w:rPr>
          <w:rStyle w:val="FootnoteReference"/>
        </w:rPr>
        <w:footnoteRef/>
      </w:r>
      <w:r>
        <w:t xml:space="preserve"> This amount is the actual amount paid to the subcontractor including additional payments made for ongoing support for learners during lockdown </w:t>
      </w:r>
    </w:p>
  </w:footnote>
  <w:footnote w:id="2">
    <w:p w14:paraId="34AF33BD" w14:textId="2D1D0EB4" w:rsidR="0043148F" w:rsidRDefault="0043148F" w:rsidP="00983D34">
      <w:pPr>
        <w:pStyle w:val="FootnoteText"/>
      </w:pPr>
      <w:r>
        <w:rPr>
          <w:rStyle w:val="FootnoteReference"/>
        </w:rPr>
        <w:footnoteRef/>
      </w:r>
      <w:r>
        <w:t xml:space="preserve"> This amount is the management fee, set at 20%. Funding retained for individual subcontractors </w:t>
      </w:r>
      <w:r w:rsidR="002C195E">
        <w:t>will</w:t>
      </w:r>
      <w:r>
        <w:t xml:space="preserve"> vary from this due to different calculations for the two funding streams and the impact of additional payments due to the Covid-19 pandemic.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BA76" w14:textId="77777777" w:rsidR="006422BB" w:rsidRDefault="00642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3E02" w14:textId="77777777" w:rsidR="006422BB" w:rsidRDefault="00642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3B17" w14:textId="77777777" w:rsidR="00041EE0" w:rsidRPr="002355CA" w:rsidRDefault="00041EE0" w:rsidP="00041EE0">
    <w:pPr>
      <w:spacing w:line="360" w:lineRule="auto"/>
      <w:jc w:val="center"/>
      <w:rPr>
        <w:b/>
        <w:sz w:val="28"/>
        <w:szCs w:val="28"/>
      </w:rPr>
    </w:pPr>
    <w:r w:rsidRPr="002355CA">
      <w:rPr>
        <w:noProof/>
        <w:sz w:val="28"/>
        <w:szCs w:val="28"/>
      </w:rPr>
      <w:drawing>
        <wp:anchor distT="0" distB="0" distL="114300" distR="114300" simplePos="0" relativeHeight="251660288" behindDoc="0" locked="0" layoutInCell="1" allowOverlap="1" wp14:anchorId="373E692D" wp14:editId="7055BF35">
          <wp:simplePos x="0" y="0"/>
          <wp:positionH relativeFrom="column">
            <wp:posOffset>5328920</wp:posOffset>
          </wp:positionH>
          <wp:positionV relativeFrom="paragraph">
            <wp:posOffset>6985</wp:posOffset>
          </wp:positionV>
          <wp:extent cx="742315" cy="762000"/>
          <wp:effectExtent l="0" t="0" r="635" b="0"/>
          <wp:wrapSquare wrapText="bothSides"/>
          <wp:docPr id="9" name="Picture 9" descr="R:\Team Documents\Logos and guidelines\sccblacksquare-A4.jpg"/>
          <wp:cNvGraphicFramePr/>
          <a:graphic xmlns:a="http://schemas.openxmlformats.org/drawingml/2006/main">
            <a:graphicData uri="http://schemas.openxmlformats.org/drawingml/2006/picture">
              <pic:pic xmlns:pic="http://schemas.openxmlformats.org/drawingml/2006/picture">
                <pic:nvPicPr>
                  <pic:cNvPr id="5" name="Picture 4" descr="R:\Team Documents\Logos and guidelines\sccblacksquare-A4.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315" cy="762000"/>
                  </a:xfrm>
                  <a:prstGeom prst="rect">
                    <a:avLst/>
                  </a:prstGeom>
                  <a:noFill/>
                  <a:ln>
                    <a:noFill/>
                  </a:ln>
                </pic:spPr>
              </pic:pic>
            </a:graphicData>
          </a:graphic>
        </wp:anchor>
      </w:drawing>
    </w:r>
    <w:r w:rsidRPr="002355CA">
      <w:rPr>
        <w:b/>
        <w:noProof/>
        <w:sz w:val="28"/>
        <w:szCs w:val="28"/>
      </w:rPr>
      <w:drawing>
        <wp:anchor distT="0" distB="0" distL="114300" distR="114300" simplePos="0" relativeHeight="251659264" behindDoc="0" locked="0" layoutInCell="1" allowOverlap="1" wp14:anchorId="2495489F" wp14:editId="0E0FB2B0">
          <wp:simplePos x="0" y="0"/>
          <wp:positionH relativeFrom="column">
            <wp:posOffset>-100330</wp:posOffset>
          </wp:positionH>
          <wp:positionV relativeFrom="paragraph">
            <wp:posOffset>-3175</wp:posOffset>
          </wp:positionV>
          <wp:extent cx="833120" cy="828675"/>
          <wp:effectExtent l="0" t="0" r="508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F_BW_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120" cy="828675"/>
                  </a:xfrm>
                  <a:prstGeom prst="rect">
                    <a:avLst/>
                  </a:prstGeom>
                </pic:spPr>
              </pic:pic>
            </a:graphicData>
          </a:graphic>
          <wp14:sizeRelH relativeFrom="margin">
            <wp14:pctWidth>0</wp14:pctWidth>
          </wp14:sizeRelH>
          <wp14:sizeRelV relativeFrom="margin">
            <wp14:pctHeight>0</wp14:pctHeight>
          </wp14:sizeRelV>
        </wp:anchor>
      </w:drawing>
    </w:r>
    <w:r w:rsidRPr="002355CA">
      <w:rPr>
        <w:b/>
        <w:sz w:val="28"/>
        <w:szCs w:val="28"/>
      </w:rPr>
      <w:t>Southampton City Council</w:t>
    </w:r>
  </w:p>
  <w:p w14:paraId="6230A5D7" w14:textId="77777777" w:rsidR="00041EE0" w:rsidRPr="002355CA" w:rsidRDefault="00041EE0" w:rsidP="00041EE0">
    <w:pPr>
      <w:spacing w:line="360" w:lineRule="auto"/>
      <w:jc w:val="center"/>
      <w:rPr>
        <w:b/>
        <w:sz w:val="28"/>
        <w:szCs w:val="28"/>
      </w:rPr>
    </w:pPr>
    <w:r w:rsidRPr="002355CA">
      <w:rPr>
        <w:b/>
        <w:sz w:val="28"/>
        <w:szCs w:val="28"/>
      </w:rPr>
      <w:t>Adult Education Budget</w:t>
    </w:r>
  </w:p>
  <w:p w14:paraId="7F570F31" w14:textId="77777777" w:rsidR="00041EE0" w:rsidRPr="002355CA" w:rsidRDefault="00D85C99" w:rsidP="00041EE0">
    <w:pPr>
      <w:spacing w:line="360" w:lineRule="auto"/>
      <w:ind w:left="-240"/>
      <w:jc w:val="center"/>
      <w:rPr>
        <w:b/>
        <w:sz w:val="28"/>
        <w:szCs w:val="28"/>
      </w:rPr>
    </w:pPr>
    <w:r>
      <w:rPr>
        <w:b/>
        <w:sz w:val="28"/>
        <w:szCs w:val="28"/>
      </w:rPr>
      <w:t>Subcontracting Delivery Policy</w:t>
    </w:r>
    <w:r w:rsidR="00DF795F">
      <w:rPr>
        <w:b/>
        <w:sz w:val="28"/>
        <w:szCs w:val="28"/>
      </w:rPr>
      <w:t xml:space="preserve"> 202</w:t>
    </w:r>
    <w:r w:rsidR="006422BB">
      <w:rPr>
        <w:b/>
        <w:sz w:val="28"/>
        <w:szCs w:val="28"/>
      </w:rPr>
      <w:t>1</w:t>
    </w:r>
    <w:r w:rsidR="00DF795F">
      <w:rPr>
        <w:b/>
        <w:sz w:val="28"/>
        <w:szCs w:val="28"/>
      </w:rPr>
      <w:t>-2</w:t>
    </w:r>
    <w:r w:rsidR="006422BB">
      <w:rPr>
        <w:b/>
        <w:sz w:val="28"/>
        <w:szCs w:val="28"/>
      </w:rPr>
      <w:t>2</w:t>
    </w:r>
  </w:p>
  <w:p w14:paraId="49EECA7A" w14:textId="77777777" w:rsidR="00041EE0" w:rsidRDefault="00041E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8DEE" w14:textId="77777777" w:rsidR="00041EE0" w:rsidRDefault="00041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407"/>
    <w:multiLevelType w:val="hybridMultilevel"/>
    <w:tmpl w:val="4F4C9576"/>
    <w:lvl w:ilvl="0" w:tplc="5C1C1F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60853"/>
    <w:multiLevelType w:val="hybridMultilevel"/>
    <w:tmpl w:val="1952E4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7F2545B"/>
    <w:multiLevelType w:val="hybridMultilevel"/>
    <w:tmpl w:val="8FEE30B8"/>
    <w:lvl w:ilvl="0" w:tplc="5C1C1F56">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3767D"/>
    <w:multiLevelType w:val="hybridMultilevel"/>
    <w:tmpl w:val="8B3E3B2E"/>
    <w:lvl w:ilvl="0" w:tplc="5C1C1F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872B3"/>
    <w:multiLevelType w:val="hybridMultilevel"/>
    <w:tmpl w:val="32EE6506"/>
    <w:lvl w:ilvl="0" w:tplc="5C1C1F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A5A8D"/>
    <w:multiLevelType w:val="hybridMultilevel"/>
    <w:tmpl w:val="22D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D764C"/>
    <w:multiLevelType w:val="hybridMultilevel"/>
    <w:tmpl w:val="F0688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607B6"/>
    <w:multiLevelType w:val="hybridMultilevel"/>
    <w:tmpl w:val="F1C22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121EA"/>
    <w:multiLevelType w:val="hybridMultilevel"/>
    <w:tmpl w:val="6DA8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02B54"/>
    <w:multiLevelType w:val="hybridMultilevel"/>
    <w:tmpl w:val="C764C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818B0"/>
    <w:multiLevelType w:val="multilevel"/>
    <w:tmpl w:val="AC14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D7202"/>
    <w:multiLevelType w:val="hybridMultilevel"/>
    <w:tmpl w:val="C476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94B7D"/>
    <w:multiLevelType w:val="hybridMultilevel"/>
    <w:tmpl w:val="9FBA32F6"/>
    <w:lvl w:ilvl="0" w:tplc="5C1C1F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95C8F"/>
    <w:multiLevelType w:val="hybridMultilevel"/>
    <w:tmpl w:val="0A3025A2"/>
    <w:lvl w:ilvl="0" w:tplc="5C1C1F5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EE26D8"/>
    <w:multiLevelType w:val="hybridMultilevel"/>
    <w:tmpl w:val="D302A736"/>
    <w:lvl w:ilvl="0" w:tplc="5C1C1F5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6F1F50"/>
    <w:multiLevelType w:val="hybridMultilevel"/>
    <w:tmpl w:val="12E66ACA"/>
    <w:lvl w:ilvl="0" w:tplc="5C1C1F56">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8"/>
  </w:num>
  <w:num w:numId="6">
    <w:abstractNumId w:val="2"/>
  </w:num>
  <w:num w:numId="7">
    <w:abstractNumId w:val="4"/>
  </w:num>
  <w:num w:numId="8">
    <w:abstractNumId w:val="0"/>
  </w:num>
  <w:num w:numId="9">
    <w:abstractNumId w:val="12"/>
  </w:num>
  <w:num w:numId="10">
    <w:abstractNumId w:val="3"/>
  </w:num>
  <w:num w:numId="11">
    <w:abstractNumId w:val="15"/>
  </w:num>
  <w:num w:numId="12">
    <w:abstractNumId w:val="13"/>
  </w:num>
  <w:num w:numId="13">
    <w:abstractNumId w:val="1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FC"/>
    <w:rsid w:val="00007689"/>
    <w:rsid w:val="0001108F"/>
    <w:rsid w:val="0003118F"/>
    <w:rsid w:val="000355A3"/>
    <w:rsid w:val="0003615C"/>
    <w:rsid w:val="00041EE0"/>
    <w:rsid w:val="00042AFB"/>
    <w:rsid w:val="00053420"/>
    <w:rsid w:val="000568F3"/>
    <w:rsid w:val="000649F1"/>
    <w:rsid w:val="00067CB5"/>
    <w:rsid w:val="00075E29"/>
    <w:rsid w:val="000825D9"/>
    <w:rsid w:val="000831FE"/>
    <w:rsid w:val="00091B39"/>
    <w:rsid w:val="00091D6C"/>
    <w:rsid w:val="0009474F"/>
    <w:rsid w:val="000A35E5"/>
    <w:rsid w:val="000B3CCF"/>
    <w:rsid w:val="000C7B82"/>
    <w:rsid w:val="000D63FB"/>
    <w:rsid w:val="000E053C"/>
    <w:rsid w:val="000F0B0E"/>
    <w:rsid w:val="00106A6D"/>
    <w:rsid w:val="001103FD"/>
    <w:rsid w:val="00115C45"/>
    <w:rsid w:val="0011738B"/>
    <w:rsid w:val="00125B96"/>
    <w:rsid w:val="00127647"/>
    <w:rsid w:val="00177C86"/>
    <w:rsid w:val="00192D15"/>
    <w:rsid w:val="0019595E"/>
    <w:rsid w:val="001B289B"/>
    <w:rsid w:val="001B2E50"/>
    <w:rsid w:val="001C22A8"/>
    <w:rsid w:val="001C4052"/>
    <w:rsid w:val="001D0C73"/>
    <w:rsid w:val="001F2D87"/>
    <w:rsid w:val="002355CA"/>
    <w:rsid w:val="00252705"/>
    <w:rsid w:val="00266F25"/>
    <w:rsid w:val="00271D4C"/>
    <w:rsid w:val="002753F0"/>
    <w:rsid w:val="00284C8C"/>
    <w:rsid w:val="002B0E48"/>
    <w:rsid w:val="002B223C"/>
    <w:rsid w:val="002B26D1"/>
    <w:rsid w:val="002C12CC"/>
    <w:rsid w:val="002C195E"/>
    <w:rsid w:val="002C1DFC"/>
    <w:rsid w:val="002E33AB"/>
    <w:rsid w:val="002E5E33"/>
    <w:rsid w:val="002E6959"/>
    <w:rsid w:val="002F1FE3"/>
    <w:rsid w:val="002F4ABD"/>
    <w:rsid w:val="002F4C36"/>
    <w:rsid w:val="00306380"/>
    <w:rsid w:val="00332151"/>
    <w:rsid w:val="003325A1"/>
    <w:rsid w:val="003405F7"/>
    <w:rsid w:val="00352EF0"/>
    <w:rsid w:val="003539D5"/>
    <w:rsid w:val="00365A5F"/>
    <w:rsid w:val="00372D96"/>
    <w:rsid w:val="00372DF7"/>
    <w:rsid w:val="00374EC8"/>
    <w:rsid w:val="00382475"/>
    <w:rsid w:val="003908EF"/>
    <w:rsid w:val="003A0745"/>
    <w:rsid w:val="003A0C9A"/>
    <w:rsid w:val="003E00CF"/>
    <w:rsid w:val="003E109C"/>
    <w:rsid w:val="003E6C03"/>
    <w:rsid w:val="00402BE1"/>
    <w:rsid w:val="0043148F"/>
    <w:rsid w:val="00452DFC"/>
    <w:rsid w:val="00455BF2"/>
    <w:rsid w:val="0045646C"/>
    <w:rsid w:val="00461F91"/>
    <w:rsid w:val="0046362F"/>
    <w:rsid w:val="00465670"/>
    <w:rsid w:val="004665BE"/>
    <w:rsid w:val="00471E3E"/>
    <w:rsid w:val="0047304D"/>
    <w:rsid w:val="00490CF6"/>
    <w:rsid w:val="004B76BB"/>
    <w:rsid w:val="004C04C5"/>
    <w:rsid w:val="004C30D3"/>
    <w:rsid w:val="004D23B4"/>
    <w:rsid w:val="004E1B74"/>
    <w:rsid w:val="004F4171"/>
    <w:rsid w:val="004F76A2"/>
    <w:rsid w:val="0050313E"/>
    <w:rsid w:val="00521AB0"/>
    <w:rsid w:val="0052494F"/>
    <w:rsid w:val="00524C3D"/>
    <w:rsid w:val="00530220"/>
    <w:rsid w:val="00551B01"/>
    <w:rsid w:val="00556ADB"/>
    <w:rsid w:val="00566580"/>
    <w:rsid w:val="005775A9"/>
    <w:rsid w:val="00582AA3"/>
    <w:rsid w:val="005838C9"/>
    <w:rsid w:val="005C24C0"/>
    <w:rsid w:val="005D0A90"/>
    <w:rsid w:val="005E679B"/>
    <w:rsid w:val="00621A35"/>
    <w:rsid w:val="006261A4"/>
    <w:rsid w:val="00627734"/>
    <w:rsid w:val="006422BB"/>
    <w:rsid w:val="006448CA"/>
    <w:rsid w:val="006459C2"/>
    <w:rsid w:val="006627B4"/>
    <w:rsid w:val="00667E9B"/>
    <w:rsid w:val="00672D5F"/>
    <w:rsid w:val="00683A23"/>
    <w:rsid w:val="00685FD6"/>
    <w:rsid w:val="006963A5"/>
    <w:rsid w:val="00697B01"/>
    <w:rsid w:val="006A4F50"/>
    <w:rsid w:val="006D5396"/>
    <w:rsid w:val="006E0FEB"/>
    <w:rsid w:val="006E156A"/>
    <w:rsid w:val="006E3CBA"/>
    <w:rsid w:val="007301CB"/>
    <w:rsid w:val="007416CA"/>
    <w:rsid w:val="00757DCE"/>
    <w:rsid w:val="007639D2"/>
    <w:rsid w:val="00763A1B"/>
    <w:rsid w:val="0076724E"/>
    <w:rsid w:val="007805AE"/>
    <w:rsid w:val="00791AA5"/>
    <w:rsid w:val="00793CD8"/>
    <w:rsid w:val="007A7A69"/>
    <w:rsid w:val="007B01EA"/>
    <w:rsid w:val="007D4A22"/>
    <w:rsid w:val="007E1237"/>
    <w:rsid w:val="007E177A"/>
    <w:rsid w:val="007E3DFD"/>
    <w:rsid w:val="007F7B8B"/>
    <w:rsid w:val="00803FDE"/>
    <w:rsid w:val="008041DC"/>
    <w:rsid w:val="00806568"/>
    <w:rsid w:val="00813A79"/>
    <w:rsid w:val="008259B9"/>
    <w:rsid w:val="00827893"/>
    <w:rsid w:val="00835096"/>
    <w:rsid w:val="0085397A"/>
    <w:rsid w:val="00865A96"/>
    <w:rsid w:val="008722BB"/>
    <w:rsid w:val="00877461"/>
    <w:rsid w:val="008A45C7"/>
    <w:rsid w:val="008C57A4"/>
    <w:rsid w:val="008D3DED"/>
    <w:rsid w:val="008F5707"/>
    <w:rsid w:val="00903A65"/>
    <w:rsid w:val="00915540"/>
    <w:rsid w:val="009209B7"/>
    <w:rsid w:val="00924C61"/>
    <w:rsid w:val="0093482E"/>
    <w:rsid w:val="00940FB6"/>
    <w:rsid w:val="00944B00"/>
    <w:rsid w:val="009531DE"/>
    <w:rsid w:val="00976E03"/>
    <w:rsid w:val="00983D34"/>
    <w:rsid w:val="00997EA5"/>
    <w:rsid w:val="009A5FC9"/>
    <w:rsid w:val="009C7B06"/>
    <w:rsid w:val="009D70EE"/>
    <w:rsid w:val="009F0D36"/>
    <w:rsid w:val="009F7FBA"/>
    <w:rsid w:val="00A1008C"/>
    <w:rsid w:val="00A2509F"/>
    <w:rsid w:val="00A26384"/>
    <w:rsid w:val="00A35330"/>
    <w:rsid w:val="00A46CE7"/>
    <w:rsid w:val="00A52662"/>
    <w:rsid w:val="00A74EB2"/>
    <w:rsid w:val="00A82354"/>
    <w:rsid w:val="00A85FC0"/>
    <w:rsid w:val="00A8772E"/>
    <w:rsid w:val="00A96455"/>
    <w:rsid w:val="00AB5B16"/>
    <w:rsid w:val="00AD17D1"/>
    <w:rsid w:val="00AF4CBC"/>
    <w:rsid w:val="00AF6E9D"/>
    <w:rsid w:val="00B100A4"/>
    <w:rsid w:val="00B11B26"/>
    <w:rsid w:val="00B17CBD"/>
    <w:rsid w:val="00B4316E"/>
    <w:rsid w:val="00B54E05"/>
    <w:rsid w:val="00B71A1E"/>
    <w:rsid w:val="00B84B3A"/>
    <w:rsid w:val="00B9016F"/>
    <w:rsid w:val="00B97D77"/>
    <w:rsid w:val="00BC56C2"/>
    <w:rsid w:val="00BD38C2"/>
    <w:rsid w:val="00BE686D"/>
    <w:rsid w:val="00C01616"/>
    <w:rsid w:val="00C01A87"/>
    <w:rsid w:val="00C0485C"/>
    <w:rsid w:val="00C32DD3"/>
    <w:rsid w:val="00C564D7"/>
    <w:rsid w:val="00C657DB"/>
    <w:rsid w:val="00C702A5"/>
    <w:rsid w:val="00C756CC"/>
    <w:rsid w:val="00C8113D"/>
    <w:rsid w:val="00C9286B"/>
    <w:rsid w:val="00C956CE"/>
    <w:rsid w:val="00CA58E2"/>
    <w:rsid w:val="00CB6182"/>
    <w:rsid w:val="00CB7A4E"/>
    <w:rsid w:val="00CD0506"/>
    <w:rsid w:val="00CD22D8"/>
    <w:rsid w:val="00CD6B3C"/>
    <w:rsid w:val="00D003A5"/>
    <w:rsid w:val="00D02654"/>
    <w:rsid w:val="00D203F0"/>
    <w:rsid w:val="00D2675D"/>
    <w:rsid w:val="00D37965"/>
    <w:rsid w:val="00D41AE2"/>
    <w:rsid w:val="00D42CDB"/>
    <w:rsid w:val="00D530F4"/>
    <w:rsid w:val="00D554FE"/>
    <w:rsid w:val="00D6179E"/>
    <w:rsid w:val="00D74C06"/>
    <w:rsid w:val="00D74C64"/>
    <w:rsid w:val="00D75A77"/>
    <w:rsid w:val="00D85C99"/>
    <w:rsid w:val="00D9224D"/>
    <w:rsid w:val="00D9458C"/>
    <w:rsid w:val="00D95054"/>
    <w:rsid w:val="00DB294A"/>
    <w:rsid w:val="00DB6315"/>
    <w:rsid w:val="00DC03A9"/>
    <w:rsid w:val="00DC0539"/>
    <w:rsid w:val="00DD4CE8"/>
    <w:rsid w:val="00DD7FDC"/>
    <w:rsid w:val="00DE3B67"/>
    <w:rsid w:val="00DF14AE"/>
    <w:rsid w:val="00DF795F"/>
    <w:rsid w:val="00E17A5D"/>
    <w:rsid w:val="00E2772A"/>
    <w:rsid w:val="00E4170E"/>
    <w:rsid w:val="00E61A8C"/>
    <w:rsid w:val="00E639C9"/>
    <w:rsid w:val="00E761A4"/>
    <w:rsid w:val="00E84DE7"/>
    <w:rsid w:val="00E93C14"/>
    <w:rsid w:val="00E940C7"/>
    <w:rsid w:val="00EA1494"/>
    <w:rsid w:val="00EC2D82"/>
    <w:rsid w:val="00ED1E69"/>
    <w:rsid w:val="00ED6AF0"/>
    <w:rsid w:val="00EE38FE"/>
    <w:rsid w:val="00EF1188"/>
    <w:rsid w:val="00EF2645"/>
    <w:rsid w:val="00F07DA1"/>
    <w:rsid w:val="00F157A0"/>
    <w:rsid w:val="00F56DE4"/>
    <w:rsid w:val="00F570DE"/>
    <w:rsid w:val="00F712BE"/>
    <w:rsid w:val="00F924D6"/>
    <w:rsid w:val="00F949EF"/>
    <w:rsid w:val="00FA469D"/>
    <w:rsid w:val="00FA7146"/>
    <w:rsid w:val="00FF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89E72E0"/>
  <w15:chartTrackingRefBased/>
  <w15:docId w15:val="{CF94618B-1795-42D5-B889-6387311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1AA5"/>
    <w:rPr>
      <w:color w:val="0000FF"/>
      <w:u w:val="single"/>
    </w:rPr>
  </w:style>
  <w:style w:type="paragraph" w:styleId="FootnoteText">
    <w:name w:val="footnote text"/>
    <w:basedOn w:val="Normal"/>
    <w:semiHidden/>
    <w:rsid w:val="00252705"/>
    <w:rPr>
      <w:sz w:val="20"/>
      <w:szCs w:val="20"/>
    </w:rPr>
  </w:style>
  <w:style w:type="character" w:styleId="FootnoteReference">
    <w:name w:val="footnote reference"/>
    <w:semiHidden/>
    <w:rsid w:val="00252705"/>
    <w:rPr>
      <w:vertAlign w:val="superscript"/>
    </w:rPr>
  </w:style>
  <w:style w:type="paragraph" w:styleId="Header">
    <w:name w:val="header"/>
    <w:basedOn w:val="Normal"/>
    <w:link w:val="HeaderChar"/>
    <w:uiPriority w:val="99"/>
    <w:rsid w:val="00CB7A4E"/>
    <w:pPr>
      <w:tabs>
        <w:tab w:val="center" w:pos="4153"/>
        <w:tab w:val="right" w:pos="8306"/>
      </w:tabs>
    </w:pPr>
  </w:style>
  <w:style w:type="paragraph" w:styleId="Footer">
    <w:name w:val="footer"/>
    <w:basedOn w:val="Normal"/>
    <w:rsid w:val="00CB7A4E"/>
    <w:pPr>
      <w:tabs>
        <w:tab w:val="center" w:pos="4153"/>
        <w:tab w:val="right" w:pos="8306"/>
      </w:tabs>
    </w:pPr>
  </w:style>
  <w:style w:type="paragraph" w:styleId="BalloonText">
    <w:name w:val="Balloon Text"/>
    <w:basedOn w:val="Normal"/>
    <w:link w:val="BalloonTextChar"/>
    <w:rsid w:val="007F7B8B"/>
    <w:rPr>
      <w:rFonts w:ascii="Segoe UI" w:hAnsi="Segoe UI" w:cs="Segoe UI"/>
      <w:sz w:val="18"/>
      <w:szCs w:val="18"/>
    </w:rPr>
  </w:style>
  <w:style w:type="character" w:customStyle="1" w:styleId="BalloonTextChar">
    <w:name w:val="Balloon Text Char"/>
    <w:link w:val="BalloonText"/>
    <w:rsid w:val="007F7B8B"/>
    <w:rPr>
      <w:rFonts w:ascii="Segoe UI" w:hAnsi="Segoe UI" w:cs="Segoe UI"/>
      <w:sz w:val="18"/>
      <w:szCs w:val="18"/>
    </w:rPr>
  </w:style>
  <w:style w:type="character" w:styleId="FollowedHyperlink">
    <w:name w:val="FollowedHyperlink"/>
    <w:basedOn w:val="DefaultParagraphFont"/>
    <w:rsid w:val="00E84DE7"/>
    <w:rPr>
      <w:color w:val="954F72" w:themeColor="followedHyperlink"/>
      <w:u w:val="single"/>
    </w:rPr>
  </w:style>
  <w:style w:type="paragraph" w:styleId="Revision">
    <w:name w:val="Revision"/>
    <w:hidden/>
    <w:uiPriority w:val="99"/>
    <w:semiHidden/>
    <w:rsid w:val="00091B39"/>
    <w:rPr>
      <w:rFonts w:ascii="Arial" w:hAnsi="Arial"/>
      <w:sz w:val="24"/>
      <w:szCs w:val="24"/>
    </w:rPr>
  </w:style>
  <w:style w:type="paragraph" w:styleId="ListParagraph">
    <w:name w:val="List Paragraph"/>
    <w:basedOn w:val="Normal"/>
    <w:uiPriority w:val="34"/>
    <w:qFormat/>
    <w:rsid w:val="00D6179E"/>
    <w:pPr>
      <w:ind w:left="720"/>
      <w:contextualSpacing/>
    </w:pPr>
  </w:style>
  <w:style w:type="character" w:customStyle="1" w:styleId="HeaderChar">
    <w:name w:val="Header Char"/>
    <w:basedOn w:val="DefaultParagraphFont"/>
    <w:link w:val="Header"/>
    <w:uiPriority w:val="99"/>
    <w:rsid w:val="00041EE0"/>
    <w:rPr>
      <w:rFonts w:ascii="Arial" w:hAnsi="Arial"/>
      <w:sz w:val="24"/>
      <w:szCs w:val="24"/>
    </w:rPr>
  </w:style>
  <w:style w:type="character" w:styleId="CommentReference">
    <w:name w:val="annotation reference"/>
    <w:basedOn w:val="DefaultParagraphFont"/>
    <w:rsid w:val="006963A5"/>
    <w:rPr>
      <w:sz w:val="16"/>
      <w:szCs w:val="16"/>
    </w:rPr>
  </w:style>
  <w:style w:type="paragraph" w:styleId="CommentText">
    <w:name w:val="annotation text"/>
    <w:basedOn w:val="Normal"/>
    <w:link w:val="CommentTextChar"/>
    <w:rsid w:val="006963A5"/>
    <w:rPr>
      <w:sz w:val="20"/>
      <w:szCs w:val="20"/>
    </w:rPr>
  </w:style>
  <w:style w:type="character" w:customStyle="1" w:styleId="CommentTextChar">
    <w:name w:val="Comment Text Char"/>
    <w:basedOn w:val="DefaultParagraphFont"/>
    <w:link w:val="CommentText"/>
    <w:rsid w:val="006963A5"/>
    <w:rPr>
      <w:rFonts w:ascii="Arial" w:hAnsi="Arial"/>
    </w:rPr>
  </w:style>
  <w:style w:type="paragraph" w:styleId="CommentSubject">
    <w:name w:val="annotation subject"/>
    <w:basedOn w:val="CommentText"/>
    <w:next w:val="CommentText"/>
    <w:link w:val="CommentSubjectChar"/>
    <w:semiHidden/>
    <w:unhideWhenUsed/>
    <w:rsid w:val="006963A5"/>
    <w:rPr>
      <w:b/>
      <w:bCs/>
    </w:rPr>
  </w:style>
  <w:style w:type="character" w:customStyle="1" w:styleId="CommentSubjectChar">
    <w:name w:val="Comment Subject Char"/>
    <w:basedOn w:val="CommentTextChar"/>
    <w:link w:val="CommentSubject"/>
    <w:semiHidden/>
    <w:rsid w:val="006963A5"/>
    <w:rPr>
      <w:rFonts w:ascii="Arial" w:hAnsi="Arial"/>
      <w:b/>
      <w:bCs/>
    </w:rPr>
  </w:style>
  <w:style w:type="character" w:styleId="UnresolvedMention">
    <w:name w:val="Unresolved Mention"/>
    <w:basedOn w:val="DefaultParagraphFont"/>
    <w:uiPriority w:val="99"/>
    <w:semiHidden/>
    <w:unhideWhenUsed/>
    <w:rsid w:val="0036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3629">
      <w:bodyDiv w:val="1"/>
      <w:marLeft w:val="0"/>
      <w:marRight w:val="0"/>
      <w:marTop w:val="0"/>
      <w:marBottom w:val="0"/>
      <w:divBdr>
        <w:top w:val="none" w:sz="0" w:space="0" w:color="auto"/>
        <w:left w:val="none" w:sz="0" w:space="0" w:color="auto"/>
        <w:bottom w:val="none" w:sz="0" w:space="0" w:color="auto"/>
        <w:right w:val="none" w:sz="0" w:space="0" w:color="auto"/>
      </w:divBdr>
    </w:div>
    <w:div w:id="199245058">
      <w:bodyDiv w:val="1"/>
      <w:marLeft w:val="0"/>
      <w:marRight w:val="0"/>
      <w:marTop w:val="0"/>
      <w:marBottom w:val="0"/>
      <w:divBdr>
        <w:top w:val="none" w:sz="0" w:space="0" w:color="auto"/>
        <w:left w:val="none" w:sz="0" w:space="0" w:color="auto"/>
        <w:bottom w:val="none" w:sz="0" w:space="0" w:color="auto"/>
        <w:right w:val="none" w:sz="0" w:space="0" w:color="auto"/>
      </w:divBdr>
    </w:div>
    <w:div w:id="224419298">
      <w:bodyDiv w:val="1"/>
      <w:marLeft w:val="0"/>
      <w:marRight w:val="0"/>
      <w:marTop w:val="0"/>
      <w:marBottom w:val="0"/>
      <w:divBdr>
        <w:top w:val="none" w:sz="0" w:space="0" w:color="auto"/>
        <w:left w:val="none" w:sz="0" w:space="0" w:color="auto"/>
        <w:bottom w:val="none" w:sz="0" w:space="0" w:color="auto"/>
        <w:right w:val="none" w:sz="0" w:space="0" w:color="auto"/>
      </w:divBdr>
    </w:div>
    <w:div w:id="280113413">
      <w:bodyDiv w:val="1"/>
      <w:marLeft w:val="0"/>
      <w:marRight w:val="0"/>
      <w:marTop w:val="0"/>
      <w:marBottom w:val="0"/>
      <w:divBdr>
        <w:top w:val="none" w:sz="0" w:space="0" w:color="auto"/>
        <w:left w:val="none" w:sz="0" w:space="0" w:color="auto"/>
        <w:bottom w:val="none" w:sz="0" w:space="0" w:color="auto"/>
        <w:right w:val="none" w:sz="0" w:space="0" w:color="auto"/>
      </w:divBdr>
    </w:div>
    <w:div w:id="556017121">
      <w:bodyDiv w:val="1"/>
      <w:marLeft w:val="0"/>
      <w:marRight w:val="0"/>
      <w:marTop w:val="0"/>
      <w:marBottom w:val="0"/>
      <w:divBdr>
        <w:top w:val="none" w:sz="0" w:space="0" w:color="auto"/>
        <w:left w:val="none" w:sz="0" w:space="0" w:color="auto"/>
        <w:bottom w:val="none" w:sz="0" w:space="0" w:color="auto"/>
        <w:right w:val="none" w:sz="0" w:space="0" w:color="auto"/>
      </w:divBdr>
    </w:div>
    <w:div w:id="621962684">
      <w:bodyDiv w:val="1"/>
      <w:marLeft w:val="0"/>
      <w:marRight w:val="0"/>
      <w:marTop w:val="0"/>
      <w:marBottom w:val="0"/>
      <w:divBdr>
        <w:top w:val="none" w:sz="0" w:space="0" w:color="auto"/>
        <w:left w:val="none" w:sz="0" w:space="0" w:color="auto"/>
        <w:bottom w:val="none" w:sz="0" w:space="0" w:color="auto"/>
        <w:right w:val="none" w:sz="0" w:space="0" w:color="auto"/>
      </w:divBdr>
    </w:div>
    <w:div w:id="709842461">
      <w:bodyDiv w:val="1"/>
      <w:marLeft w:val="0"/>
      <w:marRight w:val="0"/>
      <w:marTop w:val="0"/>
      <w:marBottom w:val="0"/>
      <w:divBdr>
        <w:top w:val="none" w:sz="0" w:space="0" w:color="auto"/>
        <w:left w:val="none" w:sz="0" w:space="0" w:color="auto"/>
        <w:bottom w:val="none" w:sz="0" w:space="0" w:color="auto"/>
        <w:right w:val="none" w:sz="0" w:space="0" w:color="auto"/>
      </w:divBdr>
    </w:div>
    <w:div w:id="842473445">
      <w:bodyDiv w:val="1"/>
      <w:marLeft w:val="0"/>
      <w:marRight w:val="0"/>
      <w:marTop w:val="0"/>
      <w:marBottom w:val="0"/>
      <w:divBdr>
        <w:top w:val="none" w:sz="0" w:space="0" w:color="auto"/>
        <w:left w:val="none" w:sz="0" w:space="0" w:color="auto"/>
        <w:bottom w:val="none" w:sz="0" w:space="0" w:color="auto"/>
        <w:right w:val="none" w:sz="0" w:space="0" w:color="auto"/>
      </w:divBdr>
    </w:div>
    <w:div w:id="1127896009">
      <w:bodyDiv w:val="1"/>
      <w:marLeft w:val="0"/>
      <w:marRight w:val="0"/>
      <w:marTop w:val="0"/>
      <w:marBottom w:val="0"/>
      <w:divBdr>
        <w:top w:val="none" w:sz="0" w:space="0" w:color="auto"/>
        <w:left w:val="none" w:sz="0" w:space="0" w:color="auto"/>
        <w:bottom w:val="none" w:sz="0" w:space="0" w:color="auto"/>
        <w:right w:val="none" w:sz="0" w:space="0" w:color="auto"/>
      </w:divBdr>
    </w:div>
    <w:div w:id="1211767378">
      <w:bodyDiv w:val="1"/>
      <w:marLeft w:val="0"/>
      <w:marRight w:val="0"/>
      <w:marTop w:val="0"/>
      <w:marBottom w:val="0"/>
      <w:divBdr>
        <w:top w:val="none" w:sz="0" w:space="0" w:color="auto"/>
        <w:left w:val="none" w:sz="0" w:space="0" w:color="auto"/>
        <w:bottom w:val="none" w:sz="0" w:space="0" w:color="auto"/>
        <w:right w:val="none" w:sz="0" w:space="0" w:color="auto"/>
      </w:divBdr>
    </w:div>
    <w:div w:id="1416778301">
      <w:bodyDiv w:val="1"/>
      <w:marLeft w:val="0"/>
      <w:marRight w:val="0"/>
      <w:marTop w:val="0"/>
      <w:marBottom w:val="0"/>
      <w:divBdr>
        <w:top w:val="none" w:sz="0" w:space="0" w:color="auto"/>
        <w:left w:val="none" w:sz="0" w:space="0" w:color="auto"/>
        <w:bottom w:val="none" w:sz="0" w:space="0" w:color="auto"/>
        <w:right w:val="none" w:sz="0" w:space="0" w:color="auto"/>
      </w:divBdr>
    </w:div>
    <w:div w:id="1510946936">
      <w:bodyDiv w:val="1"/>
      <w:marLeft w:val="0"/>
      <w:marRight w:val="0"/>
      <w:marTop w:val="0"/>
      <w:marBottom w:val="0"/>
      <w:divBdr>
        <w:top w:val="none" w:sz="0" w:space="0" w:color="auto"/>
        <w:left w:val="none" w:sz="0" w:space="0" w:color="auto"/>
        <w:bottom w:val="none" w:sz="0" w:space="0" w:color="auto"/>
        <w:right w:val="none" w:sz="0" w:space="0" w:color="auto"/>
      </w:divBdr>
    </w:div>
    <w:div w:id="1717588058">
      <w:bodyDiv w:val="1"/>
      <w:marLeft w:val="0"/>
      <w:marRight w:val="0"/>
      <w:marTop w:val="0"/>
      <w:marBottom w:val="0"/>
      <w:divBdr>
        <w:top w:val="none" w:sz="0" w:space="0" w:color="auto"/>
        <w:left w:val="none" w:sz="0" w:space="0" w:color="auto"/>
        <w:bottom w:val="none" w:sz="0" w:space="0" w:color="auto"/>
        <w:right w:val="none" w:sz="0" w:space="0" w:color="auto"/>
      </w:divBdr>
    </w:div>
    <w:div w:id="1746142382">
      <w:bodyDiv w:val="1"/>
      <w:marLeft w:val="0"/>
      <w:marRight w:val="0"/>
      <w:marTop w:val="0"/>
      <w:marBottom w:val="0"/>
      <w:divBdr>
        <w:top w:val="none" w:sz="0" w:space="0" w:color="auto"/>
        <w:left w:val="none" w:sz="0" w:space="0" w:color="auto"/>
        <w:bottom w:val="none" w:sz="0" w:space="0" w:color="auto"/>
        <w:right w:val="none" w:sz="0" w:space="0" w:color="auto"/>
      </w:divBdr>
    </w:div>
    <w:div w:id="1836533167">
      <w:bodyDiv w:val="1"/>
      <w:marLeft w:val="0"/>
      <w:marRight w:val="0"/>
      <w:marTop w:val="0"/>
      <w:marBottom w:val="0"/>
      <w:divBdr>
        <w:top w:val="none" w:sz="0" w:space="0" w:color="auto"/>
        <w:left w:val="none" w:sz="0" w:space="0" w:color="auto"/>
        <w:bottom w:val="none" w:sz="0" w:space="0" w:color="auto"/>
        <w:right w:val="none" w:sz="0" w:space="0" w:color="auto"/>
      </w:divBdr>
    </w:div>
    <w:div w:id="2015378866">
      <w:bodyDiv w:val="1"/>
      <w:marLeft w:val="0"/>
      <w:marRight w:val="0"/>
      <w:marTop w:val="0"/>
      <w:marBottom w:val="0"/>
      <w:divBdr>
        <w:top w:val="none" w:sz="0" w:space="0" w:color="auto"/>
        <w:left w:val="none" w:sz="0" w:space="0" w:color="auto"/>
        <w:bottom w:val="none" w:sz="0" w:space="0" w:color="auto"/>
        <w:right w:val="none" w:sz="0" w:space="0" w:color="auto"/>
      </w:divBdr>
    </w:div>
    <w:div w:id="2099014085">
      <w:bodyDiv w:val="1"/>
      <w:marLeft w:val="0"/>
      <w:marRight w:val="0"/>
      <w:marTop w:val="0"/>
      <w:marBottom w:val="0"/>
      <w:divBdr>
        <w:top w:val="none" w:sz="0" w:space="0" w:color="auto"/>
        <w:left w:val="none" w:sz="0" w:space="0" w:color="auto"/>
        <w:bottom w:val="none" w:sz="0" w:space="0" w:color="auto"/>
        <w:right w:val="none" w:sz="0" w:space="0" w:color="auto"/>
      </w:divBdr>
      <w:divsChild>
        <w:div w:id="1406486553">
          <w:marLeft w:val="0"/>
          <w:marRight w:val="0"/>
          <w:marTop w:val="0"/>
          <w:marBottom w:val="0"/>
          <w:divBdr>
            <w:top w:val="none" w:sz="0" w:space="0" w:color="auto"/>
            <w:left w:val="none" w:sz="0" w:space="0" w:color="auto"/>
            <w:bottom w:val="none" w:sz="0" w:space="0" w:color="auto"/>
            <w:right w:val="none" w:sz="0" w:space="0" w:color="auto"/>
          </w:divBdr>
          <w:divsChild>
            <w:div w:id="1403067516">
              <w:marLeft w:val="0"/>
              <w:marRight w:val="0"/>
              <w:marTop w:val="0"/>
              <w:marBottom w:val="0"/>
              <w:divBdr>
                <w:top w:val="none" w:sz="0" w:space="0" w:color="auto"/>
                <w:left w:val="none" w:sz="0" w:space="0" w:color="auto"/>
                <w:bottom w:val="none" w:sz="0" w:space="0" w:color="auto"/>
                <w:right w:val="none" w:sz="0" w:space="0" w:color="auto"/>
              </w:divBdr>
              <w:divsChild>
                <w:div w:id="1901282271">
                  <w:marLeft w:val="0"/>
                  <w:marRight w:val="0"/>
                  <w:marTop w:val="0"/>
                  <w:marBottom w:val="0"/>
                  <w:divBdr>
                    <w:top w:val="none" w:sz="0" w:space="0" w:color="auto"/>
                    <w:left w:val="none" w:sz="0" w:space="0" w:color="auto"/>
                    <w:bottom w:val="none" w:sz="0" w:space="0" w:color="auto"/>
                    <w:right w:val="none" w:sz="0" w:space="0" w:color="auto"/>
                  </w:divBdr>
                  <w:divsChild>
                    <w:div w:id="2126848522">
                      <w:marLeft w:val="0"/>
                      <w:marRight w:val="0"/>
                      <w:marTop w:val="0"/>
                      <w:marBottom w:val="0"/>
                      <w:divBdr>
                        <w:top w:val="none" w:sz="0" w:space="0" w:color="auto"/>
                        <w:left w:val="none" w:sz="0" w:space="0" w:color="auto"/>
                        <w:bottom w:val="none" w:sz="0" w:space="0" w:color="auto"/>
                        <w:right w:val="none" w:sz="0" w:space="0" w:color="auto"/>
                      </w:divBdr>
                      <w:divsChild>
                        <w:div w:id="2050949794">
                          <w:marLeft w:val="0"/>
                          <w:marRight w:val="0"/>
                          <w:marTop w:val="0"/>
                          <w:marBottom w:val="0"/>
                          <w:divBdr>
                            <w:top w:val="none" w:sz="0" w:space="0" w:color="auto"/>
                            <w:left w:val="none" w:sz="0" w:space="0" w:color="auto"/>
                            <w:bottom w:val="none" w:sz="0" w:space="0" w:color="auto"/>
                            <w:right w:val="none" w:sz="0" w:space="0" w:color="auto"/>
                          </w:divBdr>
                          <w:divsChild>
                            <w:div w:id="3896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s.only@southampton.gov.u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learning@southampt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uthampton.gov.uk/schools-learning/further-learning/adult-educa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adult-education-budget-aeb-funding-rates-and-formula-2021-to-202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226B-7AC7-473B-A4C9-4313CBD0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2045</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Southampton City Council</vt:lpstr>
    </vt:vector>
  </TitlesOfParts>
  <Company>Southampton City Council</Company>
  <LinksUpToDate>false</LinksUpToDate>
  <CharactersWithSpaces>14096</CharactersWithSpaces>
  <SharedDoc>false</SharedDoc>
  <HLinks>
    <vt:vector size="12" baseType="variant">
      <vt:variant>
        <vt:i4>2424856</vt:i4>
      </vt:variant>
      <vt:variant>
        <vt:i4>3</vt:i4>
      </vt:variant>
      <vt:variant>
        <vt:i4>0</vt:i4>
      </vt:variant>
      <vt:variant>
        <vt:i4>5</vt:i4>
      </vt:variant>
      <vt:variant>
        <vt:lpwstr>mailto:community.learning@southampton.gov.uk</vt:lpwstr>
      </vt:variant>
      <vt:variant>
        <vt:lpwstr/>
      </vt:variant>
      <vt:variant>
        <vt:i4>3407998</vt:i4>
      </vt:variant>
      <vt:variant>
        <vt:i4>0</vt:i4>
      </vt:variant>
      <vt:variant>
        <vt:i4>0</vt:i4>
      </vt:variant>
      <vt:variant>
        <vt:i4>5</vt:i4>
      </vt:variant>
      <vt:variant>
        <vt:lpwstr>http://www.southampton.gov.uk/learning/learningskills/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City Council</dc:title>
  <dc:subject/>
  <dc:creator>A User</dc:creator>
  <cp:keywords/>
  <dc:description/>
  <cp:lastModifiedBy>Davison, Lorraine</cp:lastModifiedBy>
  <cp:revision>10</cp:revision>
  <cp:lastPrinted>2013-09-04T13:36:00Z</cp:lastPrinted>
  <dcterms:created xsi:type="dcterms:W3CDTF">2021-08-27T10:30:00Z</dcterms:created>
  <dcterms:modified xsi:type="dcterms:W3CDTF">2021-11-25T10:58:00Z</dcterms:modified>
</cp:coreProperties>
</file>