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34A62" w14:textId="77777777" w:rsidR="00C92DEF" w:rsidRPr="00E11247" w:rsidRDefault="00C92DEF">
      <w:pPr>
        <w:rPr>
          <w:rFonts w:cs="Arial"/>
        </w:rPr>
      </w:pPr>
    </w:p>
    <w:p w14:paraId="2819673F" w14:textId="77777777" w:rsidR="00C92DEF" w:rsidRPr="00E11247" w:rsidRDefault="00512E32">
      <w:pPr>
        <w:rPr>
          <w:rFonts w:cs="Arial"/>
        </w:rPr>
      </w:pPr>
      <w:r w:rsidRPr="00D001A5">
        <w:rPr>
          <w:rFonts w:cs="Arial"/>
          <w:noProof/>
        </w:rPr>
        <w:drawing>
          <wp:anchor distT="0" distB="0" distL="114300" distR="114300" simplePos="0" relativeHeight="251660288" behindDoc="0" locked="0" layoutInCell="1" allowOverlap="1" wp14:anchorId="720FD72D" wp14:editId="64BEC505">
            <wp:simplePos x="0" y="0"/>
            <wp:positionH relativeFrom="margin">
              <wp:align>left</wp:align>
            </wp:positionH>
            <wp:positionV relativeFrom="paragraph">
              <wp:posOffset>5715</wp:posOffset>
            </wp:positionV>
            <wp:extent cx="1352550" cy="1362075"/>
            <wp:effectExtent l="0" t="0" r="0" b="9525"/>
            <wp:wrapSquare wrapText="bothSides"/>
            <wp:docPr id="5" name="Picture 4" descr="R:\Team Documents\Logos and guidelines\sccblacksquare-A4.jpg"/>
            <wp:cNvGraphicFramePr/>
            <a:graphic xmlns:a="http://schemas.openxmlformats.org/drawingml/2006/main">
              <a:graphicData uri="http://schemas.openxmlformats.org/drawingml/2006/picture">
                <pic:pic xmlns:pic="http://schemas.openxmlformats.org/drawingml/2006/picture">
                  <pic:nvPicPr>
                    <pic:cNvPr id="5" name="Picture 4" descr="R:\Team Documents\Logos and guidelines\sccblacksquare-A4.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2550"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001A5">
        <w:rPr>
          <w:rFonts w:cs="Arial"/>
          <w:noProof/>
        </w:rPr>
        <w:drawing>
          <wp:anchor distT="0" distB="0" distL="114300" distR="114300" simplePos="0" relativeHeight="251659264" behindDoc="0" locked="0" layoutInCell="1" allowOverlap="1" wp14:anchorId="05992B69" wp14:editId="6022FF68">
            <wp:simplePos x="0" y="0"/>
            <wp:positionH relativeFrom="margin">
              <wp:align>right</wp:align>
            </wp:positionH>
            <wp:positionV relativeFrom="paragraph">
              <wp:posOffset>5715</wp:posOffset>
            </wp:positionV>
            <wp:extent cx="1340485" cy="1333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SF_BW_Portrai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0485" cy="1333500"/>
                    </a:xfrm>
                    <a:prstGeom prst="rect">
                      <a:avLst/>
                    </a:prstGeom>
                  </pic:spPr>
                </pic:pic>
              </a:graphicData>
            </a:graphic>
            <wp14:sizeRelH relativeFrom="margin">
              <wp14:pctWidth>0</wp14:pctWidth>
            </wp14:sizeRelH>
            <wp14:sizeRelV relativeFrom="margin">
              <wp14:pctHeight>0</wp14:pctHeight>
            </wp14:sizeRelV>
          </wp:anchor>
        </w:drawing>
      </w:r>
    </w:p>
    <w:p w14:paraId="719AA6F6" w14:textId="77777777" w:rsidR="00C92DEF" w:rsidRPr="00E11247" w:rsidRDefault="00512E32">
      <w:pPr>
        <w:rPr>
          <w:rFonts w:cs="Arial"/>
        </w:rPr>
      </w:pPr>
      <w:r>
        <w:rPr>
          <w:rFonts w:cs="Arial"/>
          <w:noProof/>
        </w:rPr>
        <w:drawing>
          <wp:anchor distT="0" distB="0" distL="114300" distR="114300" simplePos="0" relativeHeight="251661312" behindDoc="0" locked="0" layoutInCell="1" allowOverlap="1" wp14:anchorId="39AD35B0" wp14:editId="44F172E9">
            <wp:simplePos x="0" y="0"/>
            <wp:positionH relativeFrom="margin">
              <wp:align>center</wp:align>
            </wp:positionH>
            <wp:positionV relativeFrom="paragraph">
              <wp:posOffset>5715</wp:posOffset>
            </wp:positionV>
            <wp:extent cx="2304415" cy="9525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4415" cy="952500"/>
                    </a:xfrm>
                    <a:prstGeom prst="rect">
                      <a:avLst/>
                    </a:prstGeom>
                    <a:noFill/>
                  </pic:spPr>
                </pic:pic>
              </a:graphicData>
            </a:graphic>
            <wp14:sizeRelH relativeFrom="page">
              <wp14:pctWidth>0</wp14:pctWidth>
            </wp14:sizeRelH>
            <wp14:sizeRelV relativeFrom="page">
              <wp14:pctHeight>0</wp14:pctHeight>
            </wp14:sizeRelV>
          </wp:anchor>
        </w:drawing>
      </w:r>
    </w:p>
    <w:p w14:paraId="55042BB8" w14:textId="77777777" w:rsidR="00490CF6" w:rsidRPr="00E11247" w:rsidRDefault="00490CF6">
      <w:pPr>
        <w:rPr>
          <w:rFonts w:cs="Arial"/>
        </w:rPr>
      </w:pPr>
    </w:p>
    <w:p w14:paraId="1C0E1188" w14:textId="77777777" w:rsidR="00C92DEF" w:rsidRPr="00E11247" w:rsidRDefault="00C92DEF">
      <w:pPr>
        <w:rPr>
          <w:rFonts w:cs="Arial"/>
        </w:rPr>
      </w:pPr>
    </w:p>
    <w:p w14:paraId="62C34028" w14:textId="77777777" w:rsidR="00C92DEF" w:rsidRPr="00E11247" w:rsidRDefault="00C92DEF">
      <w:pPr>
        <w:rPr>
          <w:rFonts w:cs="Arial"/>
        </w:rPr>
      </w:pPr>
    </w:p>
    <w:p w14:paraId="77812FBF" w14:textId="77777777" w:rsidR="00C92DEF" w:rsidRPr="00E11247" w:rsidRDefault="00C92DEF">
      <w:pPr>
        <w:rPr>
          <w:rFonts w:cs="Arial"/>
        </w:rPr>
      </w:pPr>
    </w:p>
    <w:p w14:paraId="32119DD6" w14:textId="77777777" w:rsidR="00C92DEF" w:rsidRPr="00E11247" w:rsidRDefault="00C92DEF">
      <w:pPr>
        <w:rPr>
          <w:rFonts w:cs="Arial"/>
        </w:rPr>
      </w:pPr>
    </w:p>
    <w:p w14:paraId="68E0E080" w14:textId="77777777" w:rsidR="00C92DEF" w:rsidRPr="00E11247" w:rsidRDefault="00C92DEF">
      <w:pPr>
        <w:rPr>
          <w:rFonts w:cs="Arial"/>
        </w:rPr>
      </w:pPr>
    </w:p>
    <w:p w14:paraId="16116C77" w14:textId="77777777" w:rsidR="00C92DEF" w:rsidRPr="00E11247" w:rsidRDefault="00C92DEF">
      <w:pPr>
        <w:rPr>
          <w:rFonts w:cs="Arial"/>
        </w:rPr>
      </w:pPr>
    </w:p>
    <w:p w14:paraId="357ABC2A" w14:textId="77777777" w:rsidR="00C92DEF" w:rsidRPr="00E11247" w:rsidRDefault="00C92DEF">
      <w:pPr>
        <w:rPr>
          <w:rFonts w:cs="Arial"/>
        </w:rPr>
      </w:pPr>
    </w:p>
    <w:p w14:paraId="4091742B" w14:textId="77777777" w:rsidR="00D57002" w:rsidRPr="00E11247" w:rsidRDefault="00D57002">
      <w:pPr>
        <w:rPr>
          <w:rFonts w:cs="Arial"/>
        </w:rPr>
      </w:pPr>
    </w:p>
    <w:p w14:paraId="27227874" w14:textId="77777777" w:rsidR="00C92DEF" w:rsidRPr="00E11247" w:rsidRDefault="00C92DEF" w:rsidP="00D57002">
      <w:pPr>
        <w:pBdr>
          <w:bottom w:val="single" w:sz="4" w:space="1" w:color="auto"/>
        </w:pBdr>
        <w:rPr>
          <w:rFonts w:cs="Arial"/>
        </w:rPr>
      </w:pPr>
    </w:p>
    <w:p w14:paraId="7073C404" w14:textId="77777777" w:rsidR="00BA6E8F" w:rsidRPr="00E11247" w:rsidRDefault="00BA6E8F" w:rsidP="00D57002">
      <w:pPr>
        <w:pBdr>
          <w:bottom w:val="single" w:sz="4" w:space="1" w:color="auto"/>
        </w:pBdr>
        <w:rPr>
          <w:rFonts w:cs="Arial"/>
        </w:rPr>
      </w:pPr>
    </w:p>
    <w:p w14:paraId="2433D167" w14:textId="77777777" w:rsidR="00BA6E8F" w:rsidRPr="00E11247" w:rsidRDefault="00BA6E8F" w:rsidP="00D57002">
      <w:pPr>
        <w:pBdr>
          <w:bottom w:val="single" w:sz="4" w:space="1" w:color="auto"/>
        </w:pBdr>
        <w:rPr>
          <w:rFonts w:cs="Arial"/>
        </w:rPr>
      </w:pPr>
    </w:p>
    <w:p w14:paraId="72F5314F" w14:textId="77777777" w:rsidR="00BA6E8F" w:rsidRPr="00E11247" w:rsidRDefault="00BA6E8F" w:rsidP="00D57002">
      <w:pPr>
        <w:pBdr>
          <w:bottom w:val="single" w:sz="4" w:space="1" w:color="auto"/>
        </w:pBdr>
        <w:rPr>
          <w:rFonts w:cs="Arial"/>
        </w:rPr>
      </w:pPr>
    </w:p>
    <w:p w14:paraId="43719C2F" w14:textId="77777777" w:rsidR="00BA6E8F" w:rsidRPr="00E11247" w:rsidRDefault="00BA6E8F" w:rsidP="00D57002">
      <w:pPr>
        <w:pBdr>
          <w:bottom w:val="single" w:sz="4" w:space="1" w:color="auto"/>
        </w:pBdr>
        <w:rPr>
          <w:rFonts w:cs="Arial"/>
        </w:rPr>
      </w:pPr>
    </w:p>
    <w:p w14:paraId="788193E8" w14:textId="77777777" w:rsidR="00BA6E8F" w:rsidRPr="00E11247" w:rsidRDefault="00BA6E8F" w:rsidP="00D57002">
      <w:pPr>
        <w:pBdr>
          <w:bottom w:val="single" w:sz="4" w:space="1" w:color="auto"/>
        </w:pBdr>
        <w:rPr>
          <w:rFonts w:cs="Arial"/>
        </w:rPr>
      </w:pPr>
    </w:p>
    <w:p w14:paraId="1E142D82" w14:textId="77777777" w:rsidR="00BA6E8F" w:rsidRPr="00E11247" w:rsidRDefault="00BA6E8F" w:rsidP="00D57002">
      <w:pPr>
        <w:pBdr>
          <w:bottom w:val="single" w:sz="4" w:space="1" w:color="auto"/>
        </w:pBdr>
        <w:rPr>
          <w:rFonts w:cs="Arial"/>
        </w:rPr>
      </w:pPr>
    </w:p>
    <w:p w14:paraId="0722A261" w14:textId="77777777" w:rsidR="00BA6E8F" w:rsidRPr="00E11247" w:rsidRDefault="00BA6E8F" w:rsidP="00D57002">
      <w:pPr>
        <w:pBdr>
          <w:bottom w:val="single" w:sz="4" w:space="1" w:color="auto"/>
        </w:pBdr>
        <w:rPr>
          <w:rFonts w:cs="Arial"/>
        </w:rPr>
      </w:pPr>
    </w:p>
    <w:p w14:paraId="56BC2805" w14:textId="77777777" w:rsidR="00BA6E8F" w:rsidRPr="00E11247" w:rsidRDefault="00BA6E8F" w:rsidP="00D57002">
      <w:pPr>
        <w:pBdr>
          <w:bottom w:val="single" w:sz="4" w:space="1" w:color="auto"/>
        </w:pBdr>
        <w:rPr>
          <w:rFonts w:cs="Arial"/>
        </w:rPr>
      </w:pPr>
    </w:p>
    <w:p w14:paraId="0B583E48" w14:textId="77777777" w:rsidR="00BA6E8F" w:rsidRPr="00E11247" w:rsidRDefault="00BA6E8F" w:rsidP="00D57002">
      <w:pPr>
        <w:pBdr>
          <w:bottom w:val="single" w:sz="4" w:space="1" w:color="auto"/>
        </w:pBdr>
        <w:rPr>
          <w:rFonts w:cs="Arial"/>
        </w:rPr>
      </w:pPr>
    </w:p>
    <w:p w14:paraId="535A0A4D" w14:textId="56A88383" w:rsidR="00C92DEF" w:rsidRPr="00E11247" w:rsidRDefault="00D001A5">
      <w:pPr>
        <w:rPr>
          <w:rFonts w:cs="Arial"/>
          <w:sz w:val="72"/>
          <w:szCs w:val="72"/>
        </w:rPr>
      </w:pPr>
      <w:r>
        <w:rPr>
          <w:rFonts w:cs="Arial"/>
          <w:sz w:val="72"/>
          <w:szCs w:val="72"/>
        </w:rPr>
        <w:t xml:space="preserve">Adult </w:t>
      </w:r>
      <w:r w:rsidR="00243E7A">
        <w:rPr>
          <w:rFonts w:cs="Arial"/>
          <w:sz w:val="72"/>
          <w:szCs w:val="72"/>
        </w:rPr>
        <w:t>Learning</w:t>
      </w:r>
    </w:p>
    <w:p w14:paraId="404A0404" w14:textId="77777777" w:rsidR="00C92DEF" w:rsidRPr="00E11247" w:rsidRDefault="008640B3">
      <w:pPr>
        <w:rPr>
          <w:rFonts w:cs="Arial"/>
          <w:sz w:val="72"/>
          <w:szCs w:val="72"/>
        </w:rPr>
      </w:pPr>
      <w:r>
        <w:rPr>
          <w:rFonts w:cs="Arial"/>
          <w:sz w:val="72"/>
          <w:szCs w:val="72"/>
        </w:rPr>
        <w:t>Pound Plus</w:t>
      </w:r>
      <w:r w:rsidR="00FE2A79">
        <w:rPr>
          <w:rFonts w:cs="Arial"/>
          <w:sz w:val="72"/>
          <w:szCs w:val="72"/>
        </w:rPr>
        <w:t xml:space="preserve"> Policy</w:t>
      </w:r>
    </w:p>
    <w:p w14:paraId="7288D156" w14:textId="1A103E6A" w:rsidR="00C92DEF" w:rsidRPr="00E11247" w:rsidRDefault="009C74D8" w:rsidP="00D57002">
      <w:pPr>
        <w:rPr>
          <w:rFonts w:cs="Arial"/>
          <w:sz w:val="72"/>
          <w:szCs w:val="72"/>
        </w:rPr>
      </w:pPr>
      <w:r>
        <w:rPr>
          <w:rFonts w:cs="Arial"/>
          <w:sz w:val="72"/>
          <w:szCs w:val="72"/>
        </w:rPr>
        <w:t>202</w:t>
      </w:r>
      <w:r w:rsidR="000E622A">
        <w:rPr>
          <w:rFonts w:cs="Arial"/>
          <w:sz w:val="72"/>
          <w:szCs w:val="72"/>
        </w:rPr>
        <w:t>1</w:t>
      </w:r>
      <w:r w:rsidR="00ED4539">
        <w:rPr>
          <w:rFonts w:cs="Arial"/>
          <w:sz w:val="72"/>
          <w:szCs w:val="72"/>
        </w:rPr>
        <w:t>-202</w:t>
      </w:r>
      <w:r w:rsidR="000E622A">
        <w:rPr>
          <w:rFonts w:cs="Arial"/>
          <w:sz w:val="72"/>
          <w:szCs w:val="72"/>
        </w:rPr>
        <w:t>2</w:t>
      </w:r>
    </w:p>
    <w:p w14:paraId="05D3BFD0" w14:textId="77777777" w:rsidR="00D57002" w:rsidRPr="00E11247" w:rsidRDefault="00D57002" w:rsidP="00D57002">
      <w:pPr>
        <w:pBdr>
          <w:top w:val="single" w:sz="4" w:space="1" w:color="auto"/>
        </w:pBdr>
        <w:rPr>
          <w:rFonts w:cs="Arial"/>
        </w:rPr>
      </w:pPr>
    </w:p>
    <w:p w14:paraId="277253DF" w14:textId="77777777" w:rsidR="00D57002" w:rsidRPr="00E11247" w:rsidRDefault="00D57002" w:rsidP="00D57002">
      <w:pPr>
        <w:rPr>
          <w:rFonts w:cs="Arial"/>
        </w:rPr>
      </w:pPr>
    </w:p>
    <w:p w14:paraId="68086C86" w14:textId="77777777" w:rsidR="00881831" w:rsidRPr="00881831" w:rsidRDefault="00D57002" w:rsidP="002B6A71">
      <w:pPr>
        <w:jc w:val="center"/>
        <w:rPr>
          <w:rFonts w:eastAsiaTheme="minorHAnsi" w:cs="Arial"/>
          <w:sz w:val="40"/>
          <w:szCs w:val="40"/>
          <w:lang w:eastAsia="en-US"/>
        </w:rPr>
      </w:pPr>
      <w:r w:rsidRPr="00E11247">
        <w:rPr>
          <w:rFonts w:cs="Arial"/>
        </w:rPr>
        <w:br w:type="page"/>
      </w:r>
    </w:p>
    <w:p w14:paraId="26383AB5" w14:textId="77777777" w:rsidR="00881831" w:rsidRPr="00881831" w:rsidRDefault="00881831" w:rsidP="00881831">
      <w:pPr>
        <w:spacing w:after="160" w:line="259" w:lineRule="auto"/>
        <w:jc w:val="center"/>
        <w:rPr>
          <w:rFonts w:eastAsiaTheme="minorHAnsi" w:cs="Arial"/>
          <w:sz w:val="40"/>
          <w:szCs w:val="40"/>
          <w:lang w:eastAsia="en-US"/>
        </w:rPr>
      </w:pPr>
    </w:p>
    <w:p w14:paraId="5630E60E" w14:textId="77777777" w:rsidR="002B6A71" w:rsidRPr="002B6A71" w:rsidRDefault="002B6A71" w:rsidP="002B6A71">
      <w:pPr>
        <w:spacing w:after="160" w:line="480" w:lineRule="auto"/>
        <w:rPr>
          <w:rFonts w:eastAsiaTheme="minorHAnsi" w:cs="Arial"/>
          <w:b/>
          <w:lang w:eastAsia="en-US"/>
        </w:rPr>
      </w:pPr>
      <w:r w:rsidRPr="002B6A71">
        <w:rPr>
          <w:rFonts w:eastAsiaTheme="minorHAnsi" w:cs="Arial"/>
          <w:b/>
          <w:lang w:eastAsia="en-US"/>
        </w:rPr>
        <w:t xml:space="preserve">What is </w:t>
      </w:r>
      <w:r w:rsidR="008640B3">
        <w:rPr>
          <w:rFonts w:eastAsiaTheme="minorHAnsi" w:cs="Arial"/>
          <w:b/>
          <w:lang w:eastAsia="en-US"/>
        </w:rPr>
        <w:t>Pound Plus</w:t>
      </w:r>
      <w:r w:rsidRPr="002B6A71">
        <w:rPr>
          <w:rFonts w:eastAsiaTheme="minorHAnsi" w:cs="Arial"/>
          <w:b/>
          <w:lang w:eastAsia="en-US"/>
        </w:rPr>
        <w:t>?</w:t>
      </w:r>
    </w:p>
    <w:p w14:paraId="2CF678AF" w14:textId="77777777" w:rsidR="002B6A71" w:rsidRPr="003E2884" w:rsidRDefault="008640B3" w:rsidP="002B6A71">
      <w:pPr>
        <w:spacing w:after="160" w:line="480" w:lineRule="auto"/>
        <w:rPr>
          <w:rFonts w:eastAsiaTheme="minorHAnsi" w:cs="Arial"/>
          <w:color w:val="222222"/>
          <w:lang w:eastAsia="en-US"/>
        </w:rPr>
      </w:pPr>
      <w:r>
        <w:rPr>
          <w:rFonts w:eastAsiaTheme="minorHAnsi" w:cs="Arial"/>
          <w:bCs/>
          <w:color w:val="222222"/>
          <w:lang w:eastAsia="en-US"/>
        </w:rPr>
        <w:t>Pound Plus</w:t>
      </w:r>
      <w:r w:rsidR="002B6A71" w:rsidRPr="003E2884">
        <w:rPr>
          <w:rFonts w:eastAsiaTheme="minorHAnsi" w:cs="Arial"/>
          <w:color w:val="222222"/>
          <w:lang w:eastAsia="en-US"/>
        </w:rPr>
        <w:t xml:space="preserve"> refers to additional income generated by providers over and above core income from the ESFA’s Adult Education Budget. It is a term used to describe how learning providers can show how they are maximising the value of public investment. This is important because generating additional income and revenue is central to the objective of driving up participation within a very constrained public funding environment. </w:t>
      </w:r>
    </w:p>
    <w:p w14:paraId="0680A400" w14:textId="77777777" w:rsidR="002B6A71" w:rsidRDefault="008640B3" w:rsidP="002B6A71">
      <w:pPr>
        <w:spacing w:after="160" w:line="480" w:lineRule="auto"/>
        <w:rPr>
          <w:rFonts w:eastAsiaTheme="minorHAnsi" w:cs="Arial"/>
          <w:color w:val="222222"/>
          <w:lang w:eastAsia="en-US"/>
        </w:rPr>
      </w:pPr>
      <w:r>
        <w:rPr>
          <w:rFonts w:eastAsiaTheme="minorHAnsi" w:cs="Arial"/>
          <w:color w:val="222222"/>
          <w:lang w:eastAsia="en-US"/>
        </w:rPr>
        <w:t>Pound Plus</w:t>
      </w:r>
      <w:r w:rsidR="002B6A71" w:rsidRPr="003E2884">
        <w:rPr>
          <w:rFonts w:eastAsiaTheme="minorHAnsi" w:cs="Arial"/>
          <w:color w:val="222222"/>
          <w:lang w:eastAsia="en-US"/>
        </w:rPr>
        <w:t xml:space="preserve"> includes income generated or savings made through course fees, financial sponsorship, access to new learning spaces made available at no or reduced cost; the use of volunteer workers; donations of equipment or consumable items; access to other fun</w:t>
      </w:r>
      <w:r w:rsidR="003E2884">
        <w:rPr>
          <w:rFonts w:eastAsiaTheme="minorHAnsi" w:cs="Arial"/>
          <w:color w:val="222222"/>
          <w:lang w:eastAsia="en-US"/>
        </w:rPr>
        <w:t>ding sources or grants, etc.</w:t>
      </w:r>
    </w:p>
    <w:p w14:paraId="10203FFC" w14:textId="77777777" w:rsidR="00761ECC" w:rsidRPr="003E2884" w:rsidRDefault="00761ECC" w:rsidP="002B6A71">
      <w:pPr>
        <w:spacing w:after="160" w:line="480" w:lineRule="auto"/>
        <w:rPr>
          <w:rFonts w:eastAsiaTheme="minorHAnsi" w:cs="Arial"/>
          <w:color w:val="222222"/>
          <w:lang w:eastAsia="en-US"/>
        </w:rPr>
      </w:pPr>
    </w:p>
    <w:p w14:paraId="404371ED" w14:textId="77777777" w:rsidR="002B6A71" w:rsidRPr="00F52508" w:rsidRDefault="003E2884" w:rsidP="002B6A71">
      <w:pPr>
        <w:spacing w:after="160" w:line="480" w:lineRule="auto"/>
        <w:rPr>
          <w:rFonts w:eastAsiaTheme="minorHAnsi" w:cs="Arial"/>
          <w:b/>
          <w:lang w:eastAsia="en-US"/>
        </w:rPr>
      </w:pPr>
      <w:r w:rsidRPr="00F52508">
        <w:rPr>
          <w:rFonts w:eastAsiaTheme="minorHAnsi" w:cs="Arial"/>
          <w:b/>
          <w:lang w:eastAsia="en-US"/>
        </w:rPr>
        <w:t xml:space="preserve">How does </w:t>
      </w:r>
      <w:r w:rsidR="008640B3" w:rsidRPr="00F52508">
        <w:rPr>
          <w:rFonts w:eastAsiaTheme="minorHAnsi" w:cs="Arial"/>
          <w:b/>
          <w:lang w:eastAsia="en-US"/>
        </w:rPr>
        <w:t>Pound Plus</w:t>
      </w:r>
      <w:r w:rsidRPr="00F52508">
        <w:rPr>
          <w:rFonts w:eastAsiaTheme="minorHAnsi" w:cs="Arial"/>
          <w:b/>
          <w:lang w:eastAsia="en-US"/>
        </w:rPr>
        <w:t xml:space="preserve"> work when the City Council </w:t>
      </w:r>
      <w:r w:rsidR="00F52508" w:rsidRPr="00F52508">
        <w:rPr>
          <w:rFonts w:eastAsiaTheme="minorHAnsi" w:cs="Arial"/>
          <w:b/>
          <w:lang w:eastAsia="en-US"/>
        </w:rPr>
        <w:t>does little</w:t>
      </w:r>
      <w:r w:rsidRPr="00F52508">
        <w:rPr>
          <w:rFonts w:eastAsiaTheme="minorHAnsi" w:cs="Arial"/>
          <w:b/>
          <w:lang w:eastAsia="en-US"/>
        </w:rPr>
        <w:t xml:space="preserve"> direct delivery?</w:t>
      </w:r>
    </w:p>
    <w:p w14:paraId="76766098" w14:textId="73A3750B" w:rsidR="003E2884" w:rsidRPr="00F52508" w:rsidRDefault="00F52508" w:rsidP="002B6A71">
      <w:pPr>
        <w:spacing w:after="160" w:line="480" w:lineRule="auto"/>
        <w:rPr>
          <w:rFonts w:eastAsiaTheme="minorHAnsi" w:cs="Arial"/>
          <w:lang w:eastAsia="en-US"/>
        </w:rPr>
      </w:pPr>
      <w:r w:rsidRPr="00F52508">
        <w:rPr>
          <w:rFonts w:eastAsiaTheme="minorHAnsi" w:cs="Arial"/>
          <w:lang w:eastAsia="en-US"/>
        </w:rPr>
        <w:t xml:space="preserve">In </w:t>
      </w:r>
      <w:r w:rsidR="000E622A">
        <w:rPr>
          <w:rFonts w:eastAsiaTheme="minorHAnsi" w:cs="Arial"/>
          <w:lang w:eastAsia="en-US"/>
        </w:rPr>
        <w:t>2021-22,</w:t>
      </w:r>
      <w:r w:rsidR="009C74D8">
        <w:rPr>
          <w:rFonts w:eastAsiaTheme="minorHAnsi" w:cs="Arial"/>
          <w:lang w:eastAsia="en-US"/>
        </w:rPr>
        <w:t xml:space="preserve"> </w:t>
      </w:r>
      <w:r w:rsidR="000E622A">
        <w:rPr>
          <w:rFonts w:eastAsiaTheme="minorHAnsi" w:cs="Arial"/>
          <w:lang w:eastAsia="en-US"/>
        </w:rPr>
        <w:t>2</w:t>
      </w:r>
      <w:r w:rsidR="009C74D8">
        <w:rPr>
          <w:rFonts w:eastAsiaTheme="minorHAnsi" w:cs="Arial"/>
          <w:lang w:eastAsia="en-US"/>
        </w:rPr>
        <w:t>1</w:t>
      </w:r>
      <w:r w:rsidRPr="00F52508">
        <w:rPr>
          <w:rFonts w:eastAsiaTheme="minorHAnsi" w:cs="Arial"/>
          <w:lang w:eastAsia="en-US"/>
        </w:rPr>
        <w:t xml:space="preserve">% of </w:t>
      </w:r>
      <w:r w:rsidR="00CF551B" w:rsidRPr="00F52508">
        <w:rPr>
          <w:rFonts w:eastAsiaTheme="minorHAnsi" w:cs="Arial"/>
          <w:lang w:eastAsia="en-US"/>
        </w:rPr>
        <w:t xml:space="preserve">Southampton City Council’s Adult Education </w:t>
      </w:r>
      <w:r w:rsidR="009C74D8">
        <w:rPr>
          <w:rFonts w:eastAsiaTheme="minorHAnsi" w:cs="Arial"/>
          <w:lang w:eastAsia="en-US"/>
        </w:rPr>
        <w:t>delivery (in fu</w:t>
      </w:r>
      <w:r w:rsidRPr="00F52508">
        <w:rPr>
          <w:rFonts w:eastAsiaTheme="minorHAnsi" w:cs="Arial"/>
          <w:lang w:eastAsia="en-US"/>
        </w:rPr>
        <w:t>n</w:t>
      </w:r>
      <w:r w:rsidR="009C74D8">
        <w:rPr>
          <w:rFonts w:eastAsiaTheme="minorHAnsi" w:cs="Arial"/>
          <w:lang w:eastAsia="en-US"/>
        </w:rPr>
        <w:t>d</w:t>
      </w:r>
      <w:r w:rsidRPr="00F52508">
        <w:rPr>
          <w:rFonts w:eastAsiaTheme="minorHAnsi" w:cs="Arial"/>
          <w:lang w:eastAsia="en-US"/>
        </w:rPr>
        <w:t xml:space="preserve">ing terms) </w:t>
      </w:r>
      <w:r w:rsidR="000E622A">
        <w:rPr>
          <w:rFonts w:eastAsiaTheme="minorHAnsi" w:cs="Arial"/>
          <w:lang w:eastAsia="en-US"/>
        </w:rPr>
        <w:t xml:space="preserve">will </w:t>
      </w:r>
      <w:r w:rsidRPr="00F52508">
        <w:rPr>
          <w:rFonts w:eastAsiaTheme="minorHAnsi" w:cs="Arial"/>
          <w:lang w:eastAsia="en-US"/>
        </w:rPr>
        <w:t>c</w:t>
      </w:r>
      <w:r w:rsidR="000E622A">
        <w:rPr>
          <w:rFonts w:eastAsiaTheme="minorHAnsi" w:cs="Arial"/>
          <w:lang w:eastAsia="en-US"/>
        </w:rPr>
        <w:t>o</w:t>
      </w:r>
      <w:r w:rsidRPr="00F52508">
        <w:rPr>
          <w:rFonts w:eastAsiaTheme="minorHAnsi" w:cs="Arial"/>
          <w:lang w:eastAsia="en-US"/>
        </w:rPr>
        <w:t>me from internal services with</w:t>
      </w:r>
      <w:r w:rsidR="009C74D8">
        <w:rPr>
          <w:rFonts w:eastAsiaTheme="minorHAnsi" w:cs="Arial"/>
          <w:lang w:eastAsia="en-US"/>
        </w:rPr>
        <w:t xml:space="preserve">in the Council. The remaining </w:t>
      </w:r>
      <w:r w:rsidR="000E622A">
        <w:rPr>
          <w:rFonts w:eastAsiaTheme="minorHAnsi" w:cs="Arial"/>
          <w:lang w:eastAsia="en-US"/>
        </w:rPr>
        <w:t>79</w:t>
      </w:r>
      <w:r w:rsidRPr="00F52508">
        <w:rPr>
          <w:rFonts w:eastAsiaTheme="minorHAnsi" w:cs="Arial"/>
          <w:lang w:eastAsia="en-US"/>
        </w:rPr>
        <w:t xml:space="preserve">% </w:t>
      </w:r>
      <w:r w:rsidR="000E622A">
        <w:rPr>
          <w:rFonts w:eastAsiaTheme="minorHAnsi" w:cs="Arial"/>
          <w:lang w:eastAsia="en-US"/>
        </w:rPr>
        <w:t>will be delivered</w:t>
      </w:r>
      <w:r w:rsidRPr="00F52508">
        <w:rPr>
          <w:rFonts w:eastAsiaTheme="minorHAnsi" w:cs="Arial"/>
          <w:lang w:eastAsia="en-US"/>
        </w:rPr>
        <w:t xml:space="preserve"> via external sub-contracting organisations.</w:t>
      </w:r>
    </w:p>
    <w:p w14:paraId="36649CB5" w14:textId="77777777" w:rsidR="007D039C" w:rsidRDefault="007D039C" w:rsidP="002B6A71">
      <w:pPr>
        <w:spacing w:after="160" w:line="480" w:lineRule="auto"/>
        <w:rPr>
          <w:rFonts w:eastAsiaTheme="minorHAnsi" w:cs="Arial"/>
          <w:color w:val="222222"/>
          <w:lang w:eastAsia="en-US"/>
        </w:rPr>
      </w:pPr>
      <w:r>
        <w:rPr>
          <w:rFonts w:eastAsiaTheme="minorHAnsi" w:cs="Arial"/>
          <w:color w:val="222222"/>
          <w:lang w:eastAsia="en-US"/>
        </w:rPr>
        <w:t xml:space="preserve">This means that </w:t>
      </w:r>
      <w:r w:rsidR="00F52508">
        <w:rPr>
          <w:rFonts w:eastAsiaTheme="minorHAnsi" w:cs="Arial"/>
          <w:color w:val="222222"/>
          <w:lang w:eastAsia="en-US"/>
        </w:rPr>
        <w:t xml:space="preserve">most of </w:t>
      </w:r>
      <w:r>
        <w:rPr>
          <w:rFonts w:eastAsiaTheme="minorHAnsi" w:cs="Arial"/>
          <w:color w:val="222222"/>
          <w:lang w:eastAsia="en-US"/>
        </w:rPr>
        <w:t xml:space="preserve">the responsibility for implementing </w:t>
      </w:r>
      <w:r w:rsidR="008640B3">
        <w:rPr>
          <w:rFonts w:eastAsiaTheme="minorHAnsi" w:cs="Arial"/>
          <w:color w:val="222222"/>
          <w:lang w:eastAsia="en-US"/>
        </w:rPr>
        <w:t>Pound Plus</w:t>
      </w:r>
      <w:r>
        <w:rPr>
          <w:rFonts w:eastAsiaTheme="minorHAnsi" w:cs="Arial"/>
          <w:color w:val="222222"/>
          <w:lang w:eastAsia="en-US"/>
        </w:rPr>
        <w:t xml:space="preserve"> policies lies with the sub-contractors directly, as well as the responsibility to ensure the money saved or created by these policies are used for the benefit of other learners, particularly priority groups and those who might otherwise not be able to engage in the learning activity.</w:t>
      </w:r>
    </w:p>
    <w:p w14:paraId="4CDC9E66" w14:textId="77777777" w:rsidR="007D039C" w:rsidRDefault="007D039C" w:rsidP="002B6A71">
      <w:pPr>
        <w:spacing w:after="160" w:line="480" w:lineRule="auto"/>
        <w:rPr>
          <w:rFonts w:eastAsiaTheme="minorHAnsi" w:cs="Arial"/>
          <w:color w:val="222222"/>
          <w:lang w:eastAsia="en-US"/>
        </w:rPr>
      </w:pPr>
      <w:r>
        <w:rPr>
          <w:rFonts w:eastAsiaTheme="minorHAnsi" w:cs="Arial"/>
          <w:color w:val="222222"/>
          <w:lang w:eastAsia="en-US"/>
        </w:rPr>
        <w:t xml:space="preserve">Clear expectations regarding </w:t>
      </w:r>
      <w:r w:rsidR="008640B3">
        <w:rPr>
          <w:rFonts w:eastAsiaTheme="minorHAnsi" w:cs="Arial"/>
          <w:color w:val="222222"/>
          <w:lang w:eastAsia="en-US"/>
        </w:rPr>
        <w:t>Pound Plus</w:t>
      </w:r>
      <w:r>
        <w:rPr>
          <w:rFonts w:eastAsiaTheme="minorHAnsi" w:cs="Arial"/>
          <w:color w:val="222222"/>
          <w:lang w:eastAsia="en-US"/>
        </w:rPr>
        <w:t xml:space="preserve"> formed part of the original specification issued to all potential sub-contractors</w:t>
      </w:r>
      <w:r w:rsidR="004F5F56">
        <w:rPr>
          <w:rFonts w:eastAsiaTheme="minorHAnsi" w:cs="Arial"/>
          <w:color w:val="222222"/>
          <w:lang w:eastAsia="en-US"/>
        </w:rPr>
        <w:t xml:space="preserve"> </w:t>
      </w:r>
      <w:r w:rsidR="008640B3">
        <w:rPr>
          <w:rFonts w:eastAsiaTheme="minorHAnsi" w:cs="Arial"/>
          <w:color w:val="222222"/>
          <w:lang w:eastAsia="en-US"/>
        </w:rPr>
        <w:t xml:space="preserve">(when they applied to become part of the City Council’s Framework of approved providers) </w:t>
      </w:r>
      <w:r w:rsidR="004F5F56">
        <w:rPr>
          <w:rFonts w:eastAsiaTheme="minorHAnsi" w:cs="Arial"/>
          <w:color w:val="222222"/>
          <w:lang w:eastAsia="en-US"/>
        </w:rPr>
        <w:t xml:space="preserve">and is re-iterated in the annual mini-competition. </w:t>
      </w:r>
      <w:r w:rsidR="004F5F56">
        <w:rPr>
          <w:rFonts w:eastAsiaTheme="minorHAnsi" w:cs="Arial"/>
          <w:color w:val="222222"/>
          <w:lang w:eastAsia="en-US"/>
        </w:rPr>
        <w:lastRenderedPageBreak/>
        <w:t xml:space="preserve">Guidance regarding </w:t>
      </w:r>
      <w:r w:rsidR="008640B3">
        <w:rPr>
          <w:rFonts w:eastAsiaTheme="minorHAnsi" w:cs="Arial"/>
          <w:color w:val="222222"/>
          <w:lang w:eastAsia="en-US"/>
        </w:rPr>
        <w:t>Pound Plus</w:t>
      </w:r>
      <w:r w:rsidR="004F5F56">
        <w:rPr>
          <w:rFonts w:eastAsiaTheme="minorHAnsi" w:cs="Arial"/>
          <w:color w:val="222222"/>
          <w:lang w:eastAsia="en-US"/>
        </w:rPr>
        <w:t xml:space="preserve"> and </w:t>
      </w:r>
      <w:r w:rsidR="00761ECC">
        <w:rPr>
          <w:rFonts w:eastAsiaTheme="minorHAnsi" w:cs="Arial"/>
          <w:color w:val="222222"/>
          <w:lang w:eastAsia="en-US"/>
        </w:rPr>
        <w:t xml:space="preserve">the service’s requirements can also be found in the </w:t>
      </w:r>
      <w:r w:rsidR="008640B3">
        <w:rPr>
          <w:rFonts w:eastAsiaTheme="minorHAnsi" w:cs="Arial"/>
          <w:color w:val="222222"/>
          <w:lang w:eastAsia="en-US"/>
        </w:rPr>
        <w:t xml:space="preserve">annual </w:t>
      </w:r>
      <w:r w:rsidR="00761ECC">
        <w:rPr>
          <w:rFonts w:eastAsiaTheme="minorHAnsi" w:cs="Arial"/>
          <w:color w:val="222222"/>
          <w:lang w:eastAsia="en-US"/>
        </w:rPr>
        <w:t>Provider Guide</w:t>
      </w:r>
      <w:r w:rsidR="008640B3">
        <w:rPr>
          <w:rFonts w:eastAsiaTheme="minorHAnsi" w:cs="Arial"/>
          <w:color w:val="222222"/>
          <w:lang w:eastAsia="en-US"/>
        </w:rPr>
        <w:t xml:space="preserve"> for sub-contractors</w:t>
      </w:r>
      <w:r w:rsidR="00761ECC">
        <w:rPr>
          <w:rFonts w:eastAsiaTheme="minorHAnsi" w:cs="Arial"/>
          <w:color w:val="222222"/>
          <w:lang w:eastAsia="en-US"/>
        </w:rPr>
        <w:t>.</w:t>
      </w:r>
    </w:p>
    <w:p w14:paraId="46B5964E" w14:textId="77777777" w:rsidR="002B6A71" w:rsidRPr="003E2884" w:rsidRDefault="002B6A71" w:rsidP="002B6A71">
      <w:pPr>
        <w:spacing w:after="160" w:line="480" w:lineRule="auto"/>
        <w:rPr>
          <w:rFonts w:eastAsiaTheme="minorHAnsi" w:cs="Arial"/>
          <w:b/>
          <w:lang w:eastAsia="en-US"/>
        </w:rPr>
      </w:pPr>
      <w:r w:rsidRPr="003E2884">
        <w:rPr>
          <w:rFonts w:eastAsiaTheme="minorHAnsi" w:cs="Arial"/>
          <w:b/>
          <w:lang w:eastAsia="en-US"/>
        </w:rPr>
        <w:t>What are Sub-Contractors expected to do?</w:t>
      </w:r>
    </w:p>
    <w:p w14:paraId="3F5413B7" w14:textId="77777777" w:rsidR="002B6A71" w:rsidRPr="003E2884" w:rsidRDefault="002B6A71" w:rsidP="002B6A71">
      <w:pPr>
        <w:spacing w:after="160" w:line="480" w:lineRule="auto"/>
        <w:rPr>
          <w:rFonts w:eastAsiaTheme="minorHAnsi" w:cs="Arial"/>
          <w:lang w:eastAsia="en-US"/>
        </w:rPr>
      </w:pPr>
      <w:r w:rsidRPr="003E2884">
        <w:rPr>
          <w:rFonts w:eastAsiaTheme="minorHAnsi" w:cs="Arial"/>
          <w:lang w:eastAsia="en-US"/>
        </w:rPr>
        <w:t xml:space="preserve">Sub-contractors are expected to demonstrate the following </w:t>
      </w:r>
      <w:r w:rsidR="008640B3">
        <w:rPr>
          <w:rFonts w:eastAsiaTheme="minorHAnsi" w:cs="Arial"/>
          <w:lang w:eastAsia="en-US"/>
        </w:rPr>
        <w:t>Pound Plus</w:t>
      </w:r>
      <w:r w:rsidRPr="003E2884">
        <w:rPr>
          <w:rFonts w:eastAsiaTheme="minorHAnsi" w:cs="Arial"/>
          <w:lang w:eastAsia="en-US"/>
        </w:rPr>
        <w:t xml:space="preserve"> improvements:</w:t>
      </w:r>
    </w:p>
    <w:p w14:paraId="1785241B" w14:textId="77777777" w:rsidR="002B6A71" w:rsidRPr="003E2884" w:rsidRDefault="002B6A71" w:rsidP="002B6A71">
      <w:pPr>
        <w:spacing w:after="160" w:line="360" w:lineRule="auto"/>
        <w:rPr>
          <w:rFonts w:eastAsiaTheme="minorHAnsi" w:cs="Arial"/>
          <w:lang w:eastAsia="en-US"/>
        </w:rPr>
      </w:pPr>
      <w:r w:rsidRPr="003E2884">
        <w:rPr>
          <w:rFonts w:eastAsiaTheme="minorHAnsi" w:cs="Arial"/>
          <w:lang w:eastAsia="en-US"/>
        </w:rPr>
        <w:t>•</w:t>
      </w:r>
      <w:r w:rsidRPr="003E2884">
        <w:rPr>
          <w:rFonts w:eastAsiaTheme="minorHAnsi" w:cs="Arial"/>
          <w:lang w:eastAsia="en-US"/>
        </w:rPr>
        <w:tab/>
        <w:t>Increase in fee income</w:t>
      </w:r>
    </w:p>
    <w:p w14:paraId="69C6E45E" w14:textId="77777777" w:rsidR="002B6A71" w:rsidRPr="003E2884" w:rsidRDefault="002B6A71" w:rsidP="002B6A71">
      <w:pPr>
        <w:spacing w:after="160" w:line="360" w:lineRule="auto"/>
        <w:rPr>
          <w:rFonts w:eastAsiaTheme="minorHAnsi" w:cs="Arial"/>
          <w:lang w:eastAsia="en-US"/>
        </w:rPr>
      </w:pPr>
      <w:r w:rsidRPr="003E2884">
        <w:rPr>
          <w:rFonts w:eastAsiaTheme="minorHAnsi" w:cs="Arial"/>
          <w:lang w:eastAsia="en-US"/>
        </w:rPr>
        <w:t>•</w:t>
      </w:r>
      <w:r w:rsidRPr="003E2884">
        <w:rPr>
          <w:rFonts w:eastAsiaTheme="minorHAnsi" w:cs="Arial"/>
          <w:lang w:eastAsia="en-US"/>
        </w:rPr>
        <w:tab/>
        <w:t>Increase in commercial sponsorship and support via contributions in kind</w:t>
      </w:r>
    </w:p>
    <w:p w14:paraId="0E33CBB5" w14:textId="77777777" w:rsidR="002B6A71" w:rsidRPr="003E2884" w:rsidRDefault="002B6A71" w:rsidP="002B6A71">
      <w:pPr>
        <w:spacing w:after="160" w:line="360" w:lineRule="auto"/>
        <w:rPr>
          <w:rFonts w:eastAsiaTheme="minorHAnsi" w:cs="Arial"/>
          <w:lang w:eastAsia="en-US"/>
        </w:rPr>
      </w:pPr>
      <w:r w:rsidRPr="003E2884">
        <w:rPr>
          <w:rFonts w:eastAsiaTheme="minorHAnsi" w:cs="Arial"/>
          <w:lang w:eastAsia="en-US"/>
        </w:rPr>
        <w:t>•</w:t>
      </w:r>
      <w:r w:rsidRPr="003E2884">
        <w:rPr>
          <w:rFonts w:eastAsiaTheme="minorHAnsi" w:cs="Arial"/>
          <w:lang w:eastAsia="en-US"/>
        </w:rPr>
        <w:tab/>
        <w:t>Increase in the use of volunteers</w:t>
      </w:r>
    </w:p>
    <w:p w14:paraId="741AA542" w14:textId="77777777" w:rsidR="002B6A71" w:rsidRPr="003E2884" w:rsidRDefault="002B6A71" w:rsidP="002B6A71">
      <w:pPr>
        <w:spacing w:after="160" w:line="360" w:lineRule="auto"/>
        <w:rPr>
          <w:rFonts w:eastAsiaTheme="minorHAnsi" w:cs="Arial"/>
          <w:lang w:eastAsia="en-US"/>
        </w:rPr>
      </w:pPr>
      <w:r w:rsidRPr="003E2884">
        <w:rPr>
          <w:rFonts w:eastAsiaTheme="minorHAnsi" w:cs="Arial"/>
          <w:lang w:eastAsia="en-US"/>
        </w:rPr>
        <w:t>•</w:t>
      </w:r>
      <w:r w:rsidRPr="003E2884">
        <w:rPr>
          <w:rFonts w:eastAsiaTheme="minorHAnsi" w:cs="Arial"/>
          <w:lang w:eastAsia="en-US"/>
        </w:rPr>
        <w:tab/>
        <w:t>Increased income from external bids</w:t>
      </w:r>
    </w:p>
    <w:p w14:paraId="3D42D242" w14:textId="77777777" w:rsidR="002B6A71" w:rsidRPr="003E2884" w:rsidRDefault="002B6A71" w:rsidP="002B6A71">
      <w:pPr>
        <w:spacing w:after="160" w:line="360" w:lineRule="auto"/>
        <w:rPr>
          <w:rFonts w:eastAsiaTheme="minorHAnsi" w:cs="Arial"/>
          <w:lang w:eastAsia="en-US"/>
        </w:rPr>
      </w:pPr>
      <w:r w:rsidRPr="003E2884">
        <w:rPr>
          <w:rFonts w:eastAsiaTheme="minorHAnsi" w:cs="Arial"/>
          <w:lang w:eastAsia="en-US"/>
        </w:rPr>
        <w:t>•</w:t>
      </w:r>
      <w:r w:rsidRPr="003E2884">
        <w:rPr>
          <w:rFonts w:eastAsiaTheme="minorHAnsi" w:cs="Arial"/>
          <w:lang w:eastAsia="en-US"/>
        </w:rPr>
        <w:tab/>
        <w:t>Rationalisation, enhancing and re-focusing of the curriculum offer</w:t>
      </w:r>
    </w:p>
    <w:p w14:paraId="4788FC6D" w14:textId="77777777" w:rsidR="002B6A71" w:rsidRPr="003E2884" w:rsidRDefault="002B6A71" w:rsidP="002B6A71">
      <w:pPr>
        <w:spacing w:after="160" w:line="360" w:lineRule="auto"/>
        <w:rPr>
          <w:rFonts w:eastAsiaTheme="minorHAnsi" w:cs="Arial"/>
          <w:lang w:eastAsia="en-US"/>
        </w:rPr>
      </w:pPr>
      <w:r w:rsidRPr="003E2884">
        <w:rPr>
          <w:rFonts w:eastAsiaTheme="minorHAnsi" w:cs="Arial"/>
          <w:lang w:eastAsia="en-US"/>
        </w:rPr>
        <w:t>•</w:t>
      </w:r>
      <w:r w:rsidRPr="003E2884">
        <w:rPr>
          <w:rFonts w:eastAsiaTheme="minorHAnsi" w:cs="Arial"/>
          <w:lang w:eastAsia="en-US"/>
        </w:rPr>
        <w:tab/>
        <w:t>Improved efficiency through the use of shared back office services or</w:t>
      </w:r>
    </w:p>
    <w:p w14:paraId="6D48C241" w14:textId="77777777" w:rsidR="002B6A71" w:rsidRPr="003E2884" w:rsidRDefault="002B6A71" w:rsidP="002B6A71">
      <w:pPr>
        <w:spacing w:after="160" w:line="360" w:lineRule="auto"/>
        <w:rPr>
          <w:rFonts w:eastAsiaTheme="minorHAnsi" w:cs="Arial"/>
          <w:lang w:eastAsia="en-US"/>
        </w:rPr>
      </w:pPr>
      <w:r w:rsidRPr="003E2884">
        <w:rPr>
          <w:rFonts w:eastAsiaTheme="minorHAnsi" w:cs="Arial"/>
          <w:lang w:eastAsia="en-US"/>
        </w:rPr>
        <w:t>•</w:t>
      </w:r>
      <w:r w:rsidRPr="003E2884">
        <w:rPr>
          <w:rFonts w:eastAsiaTheme="minorHAnsi" w:cs="Arial"/>
          <w:lang w:eastAsia="en-US"/>
        </w:rPr>
        <w:tab/>
        <w:t>Sharing premises</w:t>
      </w:r>
    </w:p>
    <w:p w14:paraId="1B511D98" w14:textId="77777777" w:rsidR="002B6A71" w:rsidRPr="003E2884" w:rsidRDefault="002B6A71" w:rsidP="002B6A71">
      <w:pPr>
        <w:spacing w:after="160" w:line="360" w:lineRule="auto"/>
        <w:ind w:left="720" w:hanging="720"/>
        <w:rPr>
          <w:rFonts w:eastAsiaTheme="minorHAnsi" w:cs="Arial"/>
          <w:lang w:eastAsia="en-US"/>
        </w:rPr>
      </w:pPr>
      <w:r w:rsidRPr="003E2884">
        <w:rPr>
          <w:rFonts w:eastAsiaTheme="minorHAnsi" w:cs="Arial"/>
          <w:lang w:eastAsia="en-US"/>
        </w:rPr>
        <w:t>•</w:t>
      </w:r>
      <w:r w:rsidRPr="003E2884">
        <w:rPr>
          <w:rFonts w:eastAsiaTheme="minorHAnsi" w:cs="Arial"/>
          <w:lang w:eastAsia="en-US"/>
        </w:rPr>
        <w:tab/>
        <w:t>Greater social impact of learning on the wider community such as health, wellbeing, employability</w:t>
      </w:r>
    </w:p>
    <w:p w14:paraId="11E90BF1" w14:textId="77777777" w:rsidR="002B6A71" w:rsidRPr="003E2884" w:rsidRDefault="002B6A71" w:rsidP="002B6A71">
      <w:pPr>
        <w:spacing w:after="160" w:line="360" w:lineRule="auto"/>
        <w:rPr>
          <w:rFonts w:eastAsiaTheme="minorHAnsi" w:cs="Arial"/>
          <w:lang w:eastAsia="en-US"/>
        </w:rPr>
      </w:pPr>
      <w:r w:rsidRPr="003E2884">
        <w:rPr>
          <w:rFonts w:eastAsiaTheme="minorHAnsi" w:cs="Arial"/>
          <w:lang w:eastAsia="en-US"/>
        </w:rPr>
        <w:t>•</w:t>
      </w:r>
      <w:r w:rsidRPr="003E2884">
        <w:rPr>
          <w:rFonts w:eastAsiaTheme="minorHAnsi" w:cs="Arial"/>
          <w:lang w:eastAsia="en-US"/>
        </w:rPr>
        <w:tab/>
        <w:t>Other measurable indicators developed by the provider</w:t>
      </w:r>
    </w:p>
    <w:p w14:paraId="347BC71C" w14:textId="77777777" w:rsidR="00410977" w:rsidRPr="003E2884" w:rsidRDefault="00410977" w:rsidP="002B6A71">
      <w:pPr>
        <w:spacing w:after="160" w:line="360" w:lineRule="auto"/>
        <w:rPr>
          <w:rFonts w:eastAsiaTheme="minorHAnsi" w:cs="Arial"/>
          <w:lang w:eastAsia="en-US"/>
        </w:rPr>
      </w:pPr>
    </w:p>
    <w:p w14:paraId="0B925D9C" w14:textId="77777777" w:rsidR="002B6A71" w:rsidRPr="003E2884" w:rsidRDefault="002B6A71" w:rsidP="002B6A71">
      <w:pPr>
        <w:spacing w:after="160" w:line="360" w:lineRule="auto"/>
        <w:rPr>
          <w:rFonts w:eastAsiaTheme="minorHAnsi" w:cs="Arial"/>
          <w:lang w:eastAsia="en-US"/>
        </w:rPr>
      </w:pPr>
      <w:r w:rsidRPr="003E2884">
        <w:rPr>
          <w:rFonts w:eastAsiaTheme="minorHAnsi" w:cs="Arial"/>
          <w:lang w:eastAsia="en-US"/>
        </w:rPr>
        <w:t>Subcontractors must therefore be able to evidence answers to the following questions:</w:t>
      </w:r>
    </w:p>
    <w:p w14:paraId="091DD462" w14:textId="77777777" w:rsidR="002B6A71" w:rsidRPr="003E2884" w:rsidRDefault="002B6A71" w:rsidP="002B6A71">
      <w:pPr>
        <w:spacing w:after="160" w:line="360" w:lineRule="auto"/>
        <w:rPr>
          <w:rFonts w:eastAsiaTheme="minorHAnsi" w:cs="Arial"/>
          <w:lang w:eastAsia="en-US"/>
        </w:rPr>
      </w:pPr>
      <w:r w:rsidRPr="003E2884">
        <w:rPr>
          <w:rFonts w:eastAsiaTheme="minorHAnsi" w:cs="Arial"/>
          <w:lang w:eastAsia="en-US"/>
        </w:rPr>
        <w:t>•</w:t>
      </w:r>
      <w:r w:rsidRPr="003E2884">
        <w:rPr>
          <w:rFonts w:eastAsiaTheme="minorHAnsi" w:cs="Arial"/>
          <w:lang w:eastAsia="en-US"/>
        </w:rPr>
        <w:tab/>
        <w:t>What fee income can we generate?</w:t>
      </w:r>
    </w:p>
    <w:p w14:paraId="58697B9B" w14:textId="77777777" w:rsidR="002B6A71" w:rsidRPr="003E2884" w:rsidRDefault="002B6A71" w:rsidP="002B6A71">
      <w:pPr>
        <w:spacing w:after="160" w:line="360" w:lineRule="auto"/>
        <w:rPr>
          <w:rFonts w:eastAsiaTheme="minorHAnsi" w:cs="Arial"/>
          <w:lang w:eastAsia="en-US"/>
        </w:rPr>
      </w:pPr>
      <w:r w:rsidRPr="003E2884">
        <w:rPr>
          <w:rFonts w:eastAsiaTheme="minorHAnsi" w:cs="Arial"/>
          <w:lang w:eastAsia="en-US"/>
        </w:rPr>
        <w:t>•</w:t>
      </w:r>
      <w:r w:rsidRPr="003E2884">
        <w:rPr>
          <w:rFonts w:eastAsiaTheme="minorHAnsi" w:cs="Arial"/>
          <w:lang w:eastAsia="en-US"/>
        </w:rPr>
        <w:tab/>
        <w:t>What other funding can we lever in?</w:t>
      </w:r>
    </w:p>
    <w:p w14:paraId="61B7D880" w14:textId="77777777" w:rsidR="002B6A71" w:rsidRPr="003E2884" w:rsidRDefault="002B6A71" w:rsidP="002B6A71">
      <w:pPr>
        <w:spacing w:after="160" w:line="360" w:lineRule="auto"/>
        <w:rPr>
          <w:rFonts w:eastAsiaTheme="minorHAnsi" w:cs="Arial"/>
          <w:lang w:eastAsia="en-US"/>
        </w:rPr>
      </w:pPr>
      <w:r w:rsidRPr="003E2884">
        <w:rPr>
          <w:rFonts w:eastAsiaTheme="minorHAnsi" w:cs="Arial"/>
          <w:lang w:eastAsia="en-US"/>
        </w:rPr>
        <w:t>•</w:t>
      </w:r>
      <w:r w:rsidRPr="003E2884">
        <w:rPr>
          <w:rFonts w:eastAsiaTheme="minorHAnsi" w:cs="Arial"/>
          <w:lang w:eastAsia="en-US"/>
        </w:rPr>
        <w:tab/>
        <w:t>What resources in kind can we source?</w:t>
      </w:r>
    </w:p>
    <w:p w14:paraId="64F9959E" w14:textId="77777777" w:rsidR="002B6A71" w:rsidRPr="003E2884" w:rsidRDefault="002B6A71" w:rsidP="002B6A71">
      <w:pPr>
        <w:spacing w:after="160" w:line="360" w:lineRule="auto"/>
        <w:rPr>
          <w:rFonts w:eastAsiaTheme="minorHAnsi" w:cs="Arial"/>
          <w:lang w:eastAsia="en-US"/>
        </w:rPr>
      </w:pPr>
      <w:r w:rsidRPr="003E2884">
        <w:rPr>
          <w:rFonts w:eastAsiaTheme="minorHAnsi" w:cs="Arial"/>
          <w:lang w:eastAsia="en-US"/>
        </w:rPr>
        <w:t>•</w:t>
      </w:r>
      <w:r w:rsidRPr="003E2884">
        <w:rPr>
          <w:rFonts w:eastAsiaTheme="minorHAnsi" w:cs="Arial"/>
          <w:lang w:eastAsia="en-US"/>
        </w:rPr>
        <w:tab/>
        <w:t>What about our funded partners?</w:t>
      </w:r>
    </w:p>
    <w:p w14:paraId="55EDB68C" w14:textId="77777777" w:rsidR="002B6A71" w:rsidRDefault="002B6A71" w:rsidP="002B6A71">
      <w:pPr>
        <w:spacing w:after="160" w:line="360" w:lineRule="auto"/>
        <w:ind w:left="720" w:hanging="720"/>
        <w:rPr>
          <w:rFonts w:eastAsiaTheme="minorHAnsi" w:cs="Arial"/>
          <w:lang w:eastAsia="en-US"/>
        </w:rPr>
      </w:pPr>
      <w:r w:rsidRPr="003E2884">
        <w:rPr>
          <w:rFonts w:eastAsiaTheme="minorHAnsi" w:cs="Arial"/>
          <w:lang w:eastAsia="en-US"/>
        </w:rPr>
        <w:t>•</w:t>
      </w:r>
      <w:r w:rsidRPr="003E2884">
        <w:rPr>
          <w:rFonts w:eastAsiaTheme="minorHAnsi" w:cs="Arial"/>
          <w:lang w:eastAsia="en-US"/>
        </w:rPr>
        <w:tab/>
        <w:t>Based on this, what is our ambition for growth in pound plus value through the year?</w:t>
      </w:r>
    </w:p>
    <w:p w14:paraId="1B810522" w14:textId="77777777" w:rsidR="003E2884" w:rsidRDefault="003E2884" w:rsidP="002B6A71">
      <w:pPr>
        <w:spacing w:after="160" w:line="360" w:lineRule="auto"/>
        <w:ind w:left="720" w:hanging="720"/>
        <w:rPr>
          <w:rFonts w:eastAsiaTheme="minorHAnsi" w:cs="Arial"/>
          <w:lang w:eastAsia="en-US"/>
        </w:rPr>
      </w:pPr>
    </w:p>
    <w:p w14:paraId="3FAEAEE3" w14:textId="77777777" w:rsidR="005C2EC6" w:rsidRDefault="005C2EC6" w:rsidP="002B6A71">
      <w:pPr>
        <w:spacing w:after="160" w:line="360" w:lineRule="auto"/>
        <w:ind w:left="720" w:hanging="720"/>
        <w:rPr>
          <w:rFonts w:eastAsiaTheme="minorHAnsi" w:cs="Arial"/>
          <w:lang w:eastAsia="en-US"/>
        </w:rPr>
      </w:pPr>
    </w:p>
    <w:p w14:paraId="2B780386" w14:textId="77777777" w:rsidR="005C2EC6" w:rsidRDefault="005C2EC6" w:rsidP="002B6A71">
      <w:pPr>
        <w:spacing w:after="160" w:line="360" w:lineRule="auto"/>
        <w:ind w:left="720" w:hanging="720"/>
        <w:rPr>
          <w:rFonts w:eastAsiaTheme="minorHAnsi" w:cs="Arial"/>
          <w:lang w:eastAsia="en-US"/>
        </w:rPr>
      </w:pPr>
    </w:p>
    <w:p w14:paraId="362BE2FA" w14:textId="77777777" w:rsidR="005C2EC6" w:rsidRDefault="005C2EC6" w:rsidP="002B6A71">
      <w:pPr>
        <w:spacing w:after="160" w:line="360" w:lineRule="auto"/>
        <w:ind w:left="720" w:hanging="720"/>
        <w:rPr>
          <w:rFonts w:eastAsiaTheme="minorHAnsi" w:cs="Arial"/>
          <w:lang w:eastAsia="en-US"/>
        </w:rPr>
      </w:pPr>
    </w:p>
    <w:p w14:paraId="4CAF6C9B" w14:textId="77777777" w:rsidR="002B6A71" w:rsidRPr="003E2884" w:rsidRDefault="002B6A71" w:rsidP="009B0CC0">
      <w:pPr>
        <w:spacing w:after="160" w:line="360" w:lineRule="auto"/>
        <w:ind w:left="720" w:hanging="720"/>
        <w:rPr>
          <w:rFonts w:eastAsiaTheme="minorHAnsi" w:cs="Arial"/>
          <w:b/>
          <w:lang w:eastAsia="en-US"/>
        </w:rPr>
      </w:pPr>
      <w:r w:rsidRPr="003E2884">
        <w:rPr>
          <w:rFonts w:eastAsiaTheme="minorHAnsi" w:cs="Arial"/>
          <w:b/>
          <w:lang w:eastAsia="en-US"/>
        </w:rPr>
        <w:lastRenderedPageBreak/>
        <w:t xml:space="preserve">How will </w:t>
      </w:r>
      <w:r w:rsidR="008640B3">
        <w:rPr>
          <w:rFonts w:eastAsiaTheme="minorHAnsi" w:cs="Arial"/>
          <w:b/>
          <w:lang w:eastAsia="en-US"/>
        </w:rPr>
        <w:t>Pound Plus</w:t>
      </w:r>
      <w:r w:rsidRPr="003E2884">
        <w:rPr>
          <w:rFonts w:eastAsiaTheme="minorHAnsi" w:cs="Arial"/>
          <w:b/>
          <w:lang w:eastAsia="en-US"/>
        </w:rPr>
        <w:t xml:space="preserve"> be monitored?</w:t>
      </w:r>
    </w:p>
    <w:p w14:paraId="00E663B5" w14:textId="77777777" w:rsidR="00272859" w:rsidRDefault="00BB5DC9" w:rsidP="009B0CC0">
      <w:pPr>
        <w:spacing w:after="160" w:line="360" w:lineRule="auto"/>
        <w:rPr>
          <w:rFonts w:cs="Arial"/>
        </w:rPr>
      </w:pPr>
      <w:r w:rsidRPr="003E2884">
        <w:rPr>
          <w:rFonts w:cs="Arial"/>
        </w:rPr>
        <w:t xml:space="preserve">Southampton City Council uses </w:t>
      </w:r>
      <w:r w:rsidR="005C2EC6">
        <w:rPr>
          <w:rFonts w:cs="Arial"/>
        </w:rPr>
        <w:t>a</w:t>
      </w:r>
      <w:r w:rsidRPr="003E2884">
        <w:rPr>
          <w:rFonts w:cs="Arial"/>
        </w:rPr>
        <w:t xml:space="preserve"> </w:t>
      </w:r>
      <w:r w:rsidR="008640B3">
        <w:rPr>
          <w:rFonts w:cs="Arial"/>
        </w:rPr>
        <w:t>Pound Plus</w:t>
      </w:r>
      <w:r w:rsidRPr="003E2884">
        <w:rPr>
          <w:rFonts w:cs="Arial"/>
        </w:rPr>
        <w:t xml:space="preserve"> Data Collection Form</w:t>
      </w:r>
      <w:r w:rsidR="005C2EC6">
        <w:rPr>
          <w:rFonts w:cs="Arial"/>
        </w:rPr>
        <w:t>,</w:t>
      </w:r>
      <w:r w:rsidRPr="003E2884">
        <w:rPr>
          <w:rFonts w:cs="Arial"/>
        </w:rPr>
        <w:t xml:space="preserve"> </w:t>
      </w:r>
      <w:r w:rsidR="009B0CC0" w:rsidRPr="003E2884">
        <w:rPr>
          <w:rFonts w:cs="Arial"/>
        </w:rPr>
        <w:t>sent out with the Self-Assessment Report (SAR) form</w:t>
      </w:r>
      <w:r w:rsidR="005C2EC6">
        <w:rPr>
          <w:rFonts w:cs="Arial"/>
        </w:rPr>
        <w:t>,</w:t>
      </w:r>
      <w:r w:rsidR="009B0CC0" w:rsidRPr="003E2884">
        <w:rPr>
          <w:rFonts w:cs="Arial"/>
        </w:rPr>
        <w:t xml:space="preserve"> for sub-contractors to complete. </w:t>
      </w:r>
      <w:r w:rsidR="003D4675" w:rsidRPr="003E2884">
        <w:rPr>
          <w:rFonts w:cs="Arial"/>
        </w:rPr>
        <w:t>Once the forms are returned, they are recorded by provider and used</w:t>
      </w:r>
      <w:r w:rsidR="005C2EC6">
        <w:rPr>
          <w:rFonts w:cs="Arial"/>
        </w:rPr>
        <w:t xml:space="preserve"> as supporting evidence when considering </w:t>
      </w:r>
      <w:r w:rsidR="005C2EC6" w:rsidRPr="005C2EC6">
        <w:rPr>
          <w:rFonts w:cs="Arial"/>
        </w:rPr>
        <w:t>individual</w:t>
      </w:r>
      <w:r w:rsidR="003D4675" w:rsidRPr="005C2EC6">
        <w:rPr>
          <w:rFonts w:cs="Arial"/>
        </w:rPr>
        <w:t xml:space="preserve"> provider SARs and </w:t>
      </w:r>
      <w:r w:rsidR="005C2EC6" w:rsidRPr="005C2EC6">
        <w:rPr>
          <w:rFonts w:cs="Arial"/>
        </w:rPr>
        <w:t xml:space="preserve">as additional data to inform </w:t>
      </w:r>
      <w:r w:rsidR="005C2EC6">
        <w:rPr>
          <w:rFonts w:cs="Arial"/>
        </w:rPr>
        <w:t>judgements made in the over-arching Southampton City Council Self-Assessment Report.</w:t>
      </w:r>
    </w:p>
    <w:p w14:paraId="218BD1BA" w14:textId="77777777" w:rsidR="005C2EC6" w:rsidRDefault="005C2EC6" w:rsidP="009B0CC0">
      <w:pPr>
        <w:spacing w:after="160" w:line="360" w:lineRule="auto"/>
        <w:rPr>
          <w:rFonts w:cs="Arial"/>
        </w:rPr>
      </w:pPr>
    </w:p>
    <w:p w14:paraId="0BF97E2D" w14:textId="77777777" w:rsidR="005C2EC6" w:rsidRDefault="005C2EC6" w:rsidP="009B0CC0">
      <w:pPr>
        <w:spacing w:after="160" w:line="360" w:lineRule="auto"/>
        <w:rPr>
          <w:rFonts w:cs="Arial"/>
        </w:rPr>
      </w:pPr>
      <w:r w:rsidRPr="00F71EC1">
        <w:rPr>
          <w:rFonts w:cs="Arial"/>
          <w:b/>
        </w:rPr>
        <w:t>For further information</w:t>
      </w:r>
      <w:r>
        <w:rPr>
          <w:rFonts w:cs="Arial"/>
        </w:rPr>
        <w:t xml:space="preserve"> –</w:t>
      </w:r>
      <w:r w:rsidR="00F71EC1">
        <w:rPr>
          <w:rFonts w:cs="Arial"/>
        </w:rPr>
        <w:t xml:space="preserve"> contact: </w:t>
      </w:r>
      <w:r>
        <w:rPr>
          <w:rFonts w:cs="Arial"/>
        </w:rPr>
        <w:t xml:space="preserve">Lorraine Davison – Community Learning Manager – </w:t>
      </w:r>
    </w:p>
    <w:p w14:paraId="7D6A4CC3" w14:textId="77777777" w:rsidR="005C2EC6" w:rsidRPr="005C2EC6" w:rsidRDefault="005C2EC6" w:rsidP="009B0CC0">
      <w:pPr>
        <w:spacing w:after="160" w:line="360" w:lineRule="auto"/>
        <w:rPr>
          <w:rFonts w:cs="Arial"/>
        </w:rPr>
      </w:pPr>
      <w:r>
        <w:rPr>
          <w:rFonts w:cs="Arial"/>
        </w:rPr>
        <w:t xml:space="preserve">Email – </w:t>
      </w:r>
      <w:hyperlink r:id="rId11" w:history="1">
        <w:r w:rsidRPr="006F3E05">
          <w:rPr>
            <w:rStyle w:val="Hyperlink"/>
            <w:rFonts w:cs="Arial"/>
          </w:rPr>
          <w:t>lorraine.davison@southampton.gov.uk</w:t>
        </w:r>
      </w:hyperlink>
      <w:r>
        <w:rPr>
          <w:rFonts w:cs="Arial"/>
        </w:rPr>
        <w:t xml:space="preserve">  </w:t>
      </w:r>
    </w:p>
    <w:sectPr w:rsidR="005C2EC6" w:rsidRPr="005C2EC6" w:rsidSect="00761ECC">
      <w:footerReference w:type="even" r:id="rId12"/>
      <w:footerReference w:type="default" r:id="rId13"/>
      <w:pgSz w:w="11906" w:h="16838" w:code="9"/>
      <w:pgMar w:top="1134" w:right="986" w:bottom="142"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5690E" w14:textId="77777777" w:rsidR="00A555E6" w:rsidRDefault="00A555E6">
      <w:r>
        <w:separator/>
      </w:r>
    </w:p>
  </w:endnote>
  <w:endnote w:type="continuationSeparator" w:id="0">
    <w:p w14:paraId="3740C7A5" w14:textId="77777777" w:rsidR="00A555E6" w:rsidRDefault="00A55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wiss 72 1 BT">
    <w:altName w:val="Swiss 72 1 BT"/>
    <w:panose1 w:val="00000000000000000000"/>
    <w:charset w:val="00"/>
    <w:family w:val="swiss"/>
    <w:notTrueType/>
    <w:pitch w:val="default"/>
    <w:sig w:usb0="00000003" w:usb1="00000000" w:usb2="00000000" w:usb3="00000000" w:csb0="00000001" w:csb1="00000000"/>
  </w:font>
  <w:font w:name="IYDEB V+ Swiss 721 BT">
    <w:altName w:val="Swis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D872C" w14:textId="77777777" w:rsidR="00A555E6" w:rsidRDefault="00A555E6" w:rsidP="00F937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E785BD" w14:textId="77777777" w:rsidR="00A555E6" w:rsidRDefault="00A555E6" w:rsidP="000B1C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58E88" w14:textId="7342064E" w:rsidR="005C2EC6" w:rsidRDefault="00ED4539">
    <w:pPr>
      <w:pStyle w:val="Footer"/>
    </w:pPr>
    <w:r>
      <w:t>R</w:t>
    </w:r>
    <w:r w:rsidR="009C74D8">
      <w:t xml:space="preserve">eviewed </w:t>
    </w:r>
    <w:r w:rsidR="000E622A">
      <w:t>August 2021</w:t>
    </w:r>
    <w:r>
      <w:t xml:space="preserve"> – to be revised July 202</w:t>
    </w:r>
    <w:r w:rsidR="000E622A">
      <w:t>2</w:t>
    </w:r>
  </w:p>
  <w:p w14:paraId="4E99CBDA" w14:textId="77777777" w:rsidR="00A555E6" w:rsidRDefault="00A555E6" w:rsidP="000B1C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2238A" w14:textId="77777777" w:rsidR="00A555E6" w:rsidRDefault="00A555E6">
      <w:r>
        <w:separator/>
      </w:r>
    </w:p>
  </w:footnote>
  <w:footnote w:type="continuationSeparator" w:id="0">
    <w:p w14:paraId="02883433" w14:textId="77777777" w:rsidR="00A555E6" w:rsidRDefault="00A55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82E98"/>
    <w:multiLevelType w:val="hybridMultilevel"/>
    <w:tmpl w:val="71961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44AB9"/>
    <w:multiLevelType w:val="hybridMultilevel"/>
    <w:tmpl w:val="D3A27E22"/>
    <w:lvl w:ilvl="0" w:tplc="08090001">
      <w:start w:val="1"/>
      <w:numFmt w:val="bullet"/>
      <w:lvlText w:val=""/>
      <w:lvlJc w:val="left"/>
      <w:pPr>
        <w:ind w:left="436" w:hanging="360"/>
      </w:pPr>
      <w:rPr>
        <w:rFonts w:ascii="Symbol" w:hAnsi="Symbol"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 w15:restartNumberingAfterBreak="0">
    <w:nsid w:val="0E3B12A2"/>
    <w:multiLevelType w:val="hybridMultilevel"/>
    <w:tmpl w:val="F99C9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D55341"/>
    <w:multiLevelType w:val="hybridMultilevel"/>
    <w:tmpl w:val="48E87F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7A5A8D"/>
    <w:multiLevelType w:val="hybridMultilevel"/>
    <w:tmpl w:val="22D0E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A550FB"/>
    <w:multiLevelType w:val="hybridMultilevel"/>
    <w:tmpl w:val="CCF686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D842CC"/>
    <w:multiLevelType w:val="hybridMultilevel"/>
    <w:tmpl w:val="91D628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22679D"/>
    <w:multiLevelType w:val="hybridMultilevel"/>
    <w:tmpl w:val="010C925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38A01CD5"/>
    <w:multiLevelType w:val="hybridMultilevel"/>
    <w:tmpl w:val="82300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F77285"/>
    <w:multiLevelType w:val="hybridMultilevel"/>
    <w:tmpl w:val="38266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3F275E"/>
    <w:multiLevelType w:val="hybridMultilevel"/>
    <w:tmpl w:val="E402AF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43190B"/>
    <w:multiLevelType w:val="hybridMultilevel"/>
    <w:tmpl w:val="CA80088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01D5AB9"/>
    <w:multiLevelType w:val="hybridMultilevel"/>
    <w:tmpl w:val="711A539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255CC6"/>
    <w:multiLevelType w:val="hybridMultilevel"/>
    <w:tmpl w:val="AA8A0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B40473"/>
    <w:multiLevelType w:val="hybridMultilevel"/>
    <w:tmpl w:val="43544AFC"/>
    <w:lvl w:ilvl="0" w:tplc="08090001">
      <w:start w:val="1"/>
      <w:numFmt w:val="bullet"/>
      <w:lvlText w:val=""/>
      <w:lvlJc w:val="left"/>
      <w:pPr>
        <w:tabs>
          <w:tab w:val="num" w:pos="720"/>
        </w:tabs>
        <w:ind w:left="720" w:hanging="360"/>
      </w:pPr>
      <w:rPr>
        <w:rFonts w:ascii="Symbol" w:hAnsi="Symbol" w:hint="default"/>
      </w:rPr>
    </w:lvl>
    <w:lvl w:ilvl="1" w:tplc="B94C3DD6">
      <w:start w:val="1"/>
      <w:numFmt w:val="decimal"/>
      <w:lvlText w:val="%2."/>
      <w:lvlJc w:val="left"/>
      <w:pPr>
        <w:tabs>
          <w:tab w:val="num" w:pos="1440"/>
        </w:tabs>
        <w:ind w:left="1440" w:hanging="360"/>
      </w:pPr>
      <w:rPr>
        <w:rFonts w:cs="Times New Roman" w:hint="default"/>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4E0FCE"/>
    <w:multiLevelType w:val="hybridMultilevel"/>
    <w:tmpl w:val="14EC14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624543"/>
    <w:multiLevelType w:val="hybridMultilevel"/>
    <w:tmpl w:val="C8E0D7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F302B54"/>
    <w:multiLevelType w:val="hybridMultilevel"/>
    <w:tmpl w:val="C764CC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7E1515"/>
    <w:multiLevelType w:val="hybridMultilevel"/>
    <w:tmpl w:val="FE20C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F96772"/>
    <w:multiLevelType w:val="hybridMultilevel"/>
    <w:tmpl w:val="5E9881D2"/>
    <w:lvl w:ilvl="0" w:tplc="EBCEFA5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4542A6"/>
    <w:multiLevelType w:val="hybridMultilevel"/>
    <w:tmpl w:val="229E87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F52499"/>
    <w:multiLevelType w:val="hybridMultilevel"/>
    <w:tmpl w:val="8A10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943AA8"/>
    <w:multiLevelType w:val="hybridMultilevel"/>
    <w:tmpl w:val="A2807368"/>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2"/>
  </w:num>
  <w:num w:numId="3">
    <w:abstractNumId w:val="14"/>
  </w:num>
  <w:num w:numId="4">
    <w:abstractNumId w:val="19"/>
  </w:num>
  <w:num w:numId="5">
    <w:abstractNumId w:val="17"/>
  </w:num>
  <w:num w:numId="6">
    <w:abstractNumId w:val="3"/>
  </w:num>
  <w:num w:numId="7">
    <w:abstractNumId w:val="6"/>
  </w:num>
  <w:num w:numId="8">
    <w:abstractNumId w:val="15"/>
  </w:num>
  <w:num w:numId="9">
    <w:abstractNumId w:val="9"/>
  </w:num>
  <w:num w:numId="10">
    <w:abstractNumId w:val="10"/>
  </w:num>
  <w:num w:numId="11">
    <w:abstractNumId w:val="11"/>
  </w:num>
  <w:num w:numId="12">
    <w:abstractNumId w:val="16"/>
  </w:num>
  <w:num w:numId="13">
    <w:abstractNumId w:val="20"/>
  </w:num>
  <w:num w:numId="14">
    <w:abstractNumId w:val="5"/>
  </w:num>
  <w:num w:numId="15">
    <w:abstractNumId w:val="7"/>
  </w:num>
  <w:num w:numId="16">
    <w:abstractNumId w:val="1"/>
  </w:num>
  <w:num w:numId="17">
    <w:abstractNumId w:val="4"/>
  </w:num>
  <w:num w:numId="18">
    <w:abstractNumId w:val="0"/>
  </w:num>
  <w:num w:numId="19">
    <w:abstractNumId w:val="13"/>
  </w:num>
  <w:num w:numId="20">
    <w:abstractNumId w:val="21"/>
  </w:num>
  <w:num w:numId="21">
    <w:abstractNumId w:val="2"/>
  </w:num>
  <w:num w:numId="22">
    <w:abstractNumId w:val="8"/>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DEF"/>
    <w:rsid w:val="00035B5E"/>
    <w:rsid w:val="00090572"/>
    <w:rsid w:val="00094CA1"/>
    <w:rsid w:val="000B1C09"/>
    <w:rsid w:val="000C291F"/>
    <w:rsid w:val="000E60C4"/>
    <w:rsid w:val="000E622A"/>
    <w:rsid w:val="000F14F0"/>
    <w:rsid w:val="00106485"/>
    <w:rsid w:val="001156C9"/>
    <w:rsid w:val="00132B52"/>
    <w:rsid w:val="001539AB"/>
    <w:rsid w:val="00163735"/>
    <w:rsid w:val="001F6BF4"/>
    <w:rsid w:val="0021491A"/>
    <w:rsid w:val="00220C03"/>
    <w:rsid w:val="00243E7A"/>
    <w:rsid w:val="00244D66"/>
    <w:rsid w:val="00272859"/>
    <w:rsid w:val="002938B2"/>
    <w:rsid w:val="002A6D5E"/>
    <w:rsid w:val="002B5D29"/>
    <w:rsid w:val="002B6A71"/>
    <w:rsid w:val="002D5240"/>
    <w:rsid w:val="002F3F8C"/>
    <w:rsid w:val="00316497"/>
    <w:rsid w:val="00327E4D"/>
    <w:rsid w:val="003405F7"/>
    <w:rsid w:val="00340DE6"/>
    <w:rsid w:val="003A3B6F"/>
    <w:rsid w:val="003A7777"/>
    <w:rsid w:val="003D4675"/>
    <w:rsid w:val="003E2884"/>
    <w:rsid w:val="00410977"/>
    <w:rsid w:val="00421647"/>
    <w:rsid w:val="00490CF6"/>
    <w:rsid w:val="00491310"/>
    <w:rsid w:val="004B4C31"/>
    <w:rsid w:val="004F4171"/>
    <w:rsid w:val="004F5F56"/>
    <w:rsid w:val="00512E32"/>
    <w:rsid w:val="00513E25"/>
    <w:rsid w:val="00543F43"/>
    <w:rsid w:val="0054749C"/>
    <w:rsid w:val="005C2EC6"/>
    <w:rsid w:val="005C34D4"/>
    <w:rsid w:val="00617D4D"/>
    <w:rsid w:val="00644E6A"/>
    <w:rsid w:val="00655C55"/>
    <w:rsid w:val="00666092"/>
    <w:rsid w:val="00697B01"/>
    <w:rsid w:val="006D55DF"/>
    <w:rsid w:val="00734CC7"/>
    <w:rsid w:val="00743997"/>
    <w:rsid w:val="00761ECC"/>
    <w:rsid w:val="007811FA"/>
    <w:rsid w:val="007D039C"/>
    <w:rsid w:val="007F0A53"/>
    <w:rsid w:val="0082625E"/>
    <w:rsid w:val="0083759B"/>
    <w:rsid w:val="008640B3"/>
    <w:rsid w:val="00881831"/>
    <w:rsid w:val="008978CA"/>
    <w:rsid w:val="008C5102"/>
    <w:rsid w:val="008D6A96"/>
    <w:rsid w:val="009443C7"/>
    <w:rsid w:val="00964645"/>
    <w:rsid w:val="009A424B"/>
    <w:rsid w:val="009B0CC0"/>
    <w:rsid w:val="009C74D8"/>
    <w:rsid w:val="00A025D3"/>
    <w:rsid w:val="00A20C15"/>
    <w:rsid w:val="00A33083"/>
    <w:rsid w:val="00A361DC"/>
    <w:rsid w:val="00A4685D"/>
    <w:rsid w:val="00A555E6"/>
    <w:rsid w:val="00AB4C86"/>
    <w:rsid w:val="00AB6FFD"/>
    <w:rsid w:val="00AF4921"/>
    <w:rsid w:val="00AF7660"/>
    <w:rsid w:val="00B01E96"/>
    <w:rsid w:val="00B11BE0"/>
    <w:rsid w:val="00B14C94"/>
    <w:rsid w:val="00B16D72"/>
    <w:rsid w:val="00B25724"/>
    <w:rsid w:val="00B421E6"/>
    <w:rsid w:val="00B7716D"/>
    <w:rsid w:val="00BA6E8F"/>
    <w:rsid w:val="00BB5DC9"/>
    <w:rsid w:val="00BC1B99"/>
    <w:rsid w:val="00BE65FF"/>
    <w:rsid w:val="00BF0506"/>
    <w:rsid w:val="00BF2964"/>
    <w:rsid w:val="00BF363F"/>
    <w:rsid w:val="00BF70F6"/>
    <w:rsid w:val="00C057FC"/>
    <w:rsid w:val="00C24335"/>
    <w:rsid w:val="00C45A1E"/>
    <w:rsid w:val="00C57B69"/>
    <w:rsid w:val="00C72D5C"/>
    <w:rsid w:val="00C92DEF"/>
    <w:rsid w:val="00CF551B"/>
    <w:rsid w:val="00CF6F05"/>
    <w:rsid w:val="00D001A5"/>
    <w:rsid w:val="00D10C96"/>
    <w:rsid w:val="00D57002"/>
    <w:rsid w:val="00E11247"/>
    <w:rsid w:val="00E407C4"/>
    <w:rsid w:val="00E93C14"/>
    <w:rsid w:val="00ED3FFF"/>
    <w:rsid w:val="00ED4539"/>
    <w:rsid w:val="00F031CB"/>
    <w:rsid w:val="00F063A6"/>
    <w:rsid w:val="00F52508"/>
    <w:rsid w:val="00F71EC1"/>
    <w:rsid w:val="00F93785"/>
    <w:rsid w:val="00FA1474"/>
    <w:rsid w:val="00FC2C34"/>
    <w:rsid w:val="00FC6EE9"/>
    <w:rsid w:val="00FE2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3EC983"/>
  <w15:chartTrackingRefBased/>
  <w15:docId w15:val="{302DDE04-5B06-4DB7-94A9-F66A4F9B0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6497"/>
    <w:rPr>
      <w:color w:val="0000FF"/>
      <w:u w:val="single"/>
    </w:rPr>
  </w:style>
  <w:style w:type="paragraph" w:styleId="BalloonText">
    <w:name w:val="Balloon Text"/>
    <w:basedOn w:val="Normal"/>
    <w:semiHidden/>
    <w:rsid w:val="00D57002"/>
    <w:rPr>
      <w:rFonts w:ascii="Tahoma" w:hAnsi="Tahoma" w:cs="Tahoma"/>
      <w:sz w:val="16"/>
      <w:szCs w:val="16"/>
    </w:rPr>
  </w:style>
  <w:style w:type="table" w:styleId="TableGrid">
    <w:name w:val="Table Grid"/>
    <w:basedOn w:val="TableNormal"/>
    <w:rsid w:val="00FC2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B1C09"/>
    <w:pPr>
      <w:tabs>
        <w:tab w:val="center" w:pos="4153"/>
        <w:tab w:val="right" w:pos="8306"/>
      </w:tabs>
    </w:pPr>
  </w:style>
  <w:style w:type="character" w:styleId="PageNumber">
    <w:name w:val="page number"/>
    <w:basedOn w:val="DefaultParagraphFont"/>
    <w:rsid w:val="000B1C09"/>
  </w:style>
  <w:style w:type="paragraph" w:styleId="Header">
    <w:name w:val="header"/>
    <w:basedOn w:val="Normal"/>
    <w:rsid w:val="000B1C09"/>
    <w:pPr>
      <w:tabs>
        <w:tab w:val="center" w:pos="4153"/>
        <w:tab w:val="right" w:pos="8306"/>
      </w:tabs>
    </w:pPr>
  </w:style>
  <w:style w:type="paragraph" w:customStyle="1" w:styleId="Default">
    <w:name w:val="Default"/>
    <w:rsid w:val="00E407C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407C4"/>
    <w:pPr>
      <w:ind w:left="720"/>
      <w:contextualSpacing/>
    </w:pPr>
  </w:style>
  <w:style w:type="paragraph" w:customStyle="1" w:styleId="Pa0">
    <w:name w:val="Pa0"/>
    <w:basedOn w:val="Default"/>
    <w:next w:val="Default"/>
    <w:uiPriority w:val="99"/>
    <w:rsid w:val="00E407C4"/>
    <w:pPr>
      <w:spacing w:line="241" w:lineRule="atLeast"/>
    </w:pPr>
    <w:rPr>
      <w:rFonts w:ascii="Swiss 72 1 BT" w:eastAsia="Calibri" w:hAnsi="Swiss 72 1 BT" w:cs="Times New Roman"/>
      <w:color w:val="auto"/>
      <w:lang w:eastAsia="en-US"/>
    </w:rPr>
  </w:style>
  <w:style w:type="character" w:customStyle="1" w:styleId="A0">
    <w:name w:val="A0"/>
    <w:uiPriority w:val="99"/>
    <w:rsid w:val="00E407C4"/>
    <w:rPr>
      <w:rFonts w:cs="Swiss 72 1 BT"/>
      <w:color w:val="000000"/>
      <w:sz w:val="22"/>
      <w:szCs w:val="22"/>
    </w:rPr>
  </w:style>
  <w:style w:type="paragraph" w:customStyle="1" w:styleId="Pa1">
    <w:name w:val="Pa1"/>
    <w:basedOn w:val="Default"/>
    <w:next w:val="Default"/>
    <w:uiPriority w:val="99"/>
    <w:rsid w:val="00E407C4"/>
    <w:pPr>
      <w:spacing w:line="241" w:lineRule="atLeast"/>
    </w:pPr>
    <w:rPr>
      <w:rFonts w:ascii="Swiss 72 1 BT" w:eastAsia="Calibri" w:hAnsi="Swiss 72 1 BT" w:cs="Times New Roman"/>
      <w:color w:val="auto"/>
      <w:lang w:eastAsia="en-US"/>
    </w:rPr>
  </w:style>
  <w:style w:type="paragraph" w:customStyle="1" w:styleId="Pa3">
    <w:name w:val="Pa3"/>
    <w:basedOn w:val="Default"/>
    <w:next w:val="Default"/>
    <w:uiPriority w:val="99"/>
    <w:rsid w:val="00340DE6"/>
    <w:pPr>
      <w:spacing w:line="221" w:lineRule="atLeast"/>
    </w:pPr>
    <w:rPr>
      <w:rFonts w:ascii="IYDEB V+ Swiss 721 BT" w:hAnsi="IYDEB V+ Swiss 721 BT" w:cs="Times New Roman"/>
      <w:color w:val="auto"/>
    </w:rPr>
  </w:style>
  <w:style w:type="character" w:styleId="FollowedHyperlink">
    <w:name w:val="FollowedHyperlink"/>
    <w:basedOn w:val="DefaultParagraphFont"/>
    <w:rsid w:val="00666092"/>
    <w:rPr>
      <w:color w:val="954F72" w:themeColor="followedHyperlink"/>
      <w:u w:val="single"/>
    </w:rPr>
  </w:style>
  <w:style w:type="character" w:customStyle="1" w:styleId="FooterChar">
    <w:name w:val="Footer Char"/>
    <w:basedOn w:val="DefaultParagraphFont"/>
    <w:link w:val="Footer"/>
    <w:uiPriority w:val="99"/>
    <w:rsid w:val="005C2EC6"/>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rraine.davison@southampton.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370DF-9810-4933-BAB4-9EBF5591C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488</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Southampton City Council</Company>
  <LinksUpToDate>false</LinksUpToDate>
  <CharactersWithSpaces>3411</CharactersWithSpaces>
  <SharedDoc>false</SharedDoc>
  <HLinks>
    <vt:vector size="6" baseType="variant">
      <vt:variant>
        <vt:i4>3407998</vt:i4>
      </vt:variant>
      <vt:variant>
        <vt:i4>0</vt:i4>
      </vt:variant>
      <vt:variant>
        <vt:i4>0</vt:i4>
      </vt:variant>
      <vt:variant>
        <vt:i4>5</vt:i4>
      </vt:variant>
      <vt:variant>
        <vt:lpwstr>http://www.southampton.gov.uk/learning/learningskills/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User</dc:creator>
  <cp:keywords/>
  <dc:description/>
  <cp:lastModifiedBy>Davison, Lorraine</cp:lastModifiedBy>
  <cp:revision>3</cp:revision>
  <dcterms:created xsi:type="dcterms:W3CDTF">2021-08-24T13:47:00Z</dcterms:created>
  <dcterms:modified xsi:type="dcterms:W3CDTF">2021-10-22T11:16:00Z</dcterms:modified>
</cp:coreProperties>
</file>