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7A15" w14:textId="77777777" w:rsidR="00C92DEF" w:rsidRPr="00E11247" w:rsidRDefault="00037303">
      <w:pPr>
        <w:rPr>
          <w:rFonts w:cs="Arial"/>
        </w:rPr>
      </w:pPr>
      <w:r w:rsidRPr="00D001A5">
        <w:rPr>
          <w:rFonts w:cs="Arial"/>
          <w:noProof/>
        </w:rPr>
        <w:drawing>
          <wp:anchor distT="0" distB="0" distL="114300" distR="114300" simplePos="0" relativeHeight="251659264" behindDoc="0" locked="0" layoutInCell="1" allowOverlap="1" wp14:anchorId="6D2A903F" wp14:editId="14ECB51A">
            <wp:simplePos x="0" y="0"/>
            <wp:positionH relativeFrom="margin">
              <wp:posOffset>4873625</wp:posOffset>
            </wp:positionH>
            <wp:positionV relativeFrom="paragraph">
              <wp:posOffset>66675</wp:posOffset>
            </wp:positionV>
            <wp:extent cx="134048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F_BW_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485" cy="1333500"/>
                    </a:xfrm>
                    <a:prstGeom prst="rect">
                      <a:avLst/>
                    </a:prstGeom>
                  </pic:spPr>
                </pic:pic>
              </a:graphicData>
            </a:graphic>
            <wp14:sizeRelH relativeFrom="margin">
              <wp14:pctWidth>0</wp14:pctWidth>
            </wp14:sizeRelH>
            <wp14:sizeRelV relativeFrom="margin">
              <wp14:pctHeight>0</wp14:pctHeight>
            </wp14:sizeRelV>
          </wp:anchor>
        </w:drawing>
      </w:r>
    </w:p>
    <w:p w14:paraId="30C169BF" w14:textId="77777777" w:rsidR="00C92DEF" w:rsidRPr="00E11247" w:rsidRDefault="00512E32">
      <w:pPr>
        <w:rPr>
          <w:rFonts w:cs="Arial"/>
        </w:rPr>
      </w:pPr>
      <w:r w:rsidRPr="00D001A5">
        <w:rPr>
          <w:rFonts w:cs="Arial"/>
          <w:noProof/>
        </w:rPr>
        <w:drawing>
          <wp:anchor distT="0" distB="0" distL="114300" distR="114300" simplePos="0" relativeHeight="251660288" behindDoc="0" locked="0" layoutInCell="1" allowOverlap="1" wp14:anchorId="57EC75CB" wp14:editId="256FD44D">
            <wp:simplePos x="0" y="0"/>
            <wp:positionH relativeFrom="margin">
              <wp:align>left</wp:align>
            </wp:positionH>
            <wp:positionV relativeFrom="paragraph">
              <wp:posOffset>5715</wp:posOffset>
            </wp:positionV>
            <wp:extent cx="1352550" cy="1362075"/>
            <wp:effectExtent l="0" t="0" r="0" b="9525"/>
            <wp:wrapSquare wrapText="bothSides"/>
            <wp:docPr id="5" name="Picture 4" descr="R:\Team Documents\Logos and guidelines\sccblacksquare-A4.jpg"/>
            <wp:cNvGraphicFramePr/>
            <a:graphic xmlns:a="http://schemas.openxmlformats.org/drawingml/2006/main">
              <a:graphicData uri="http://schemas.openxmlformats.org/drawingml/2006/picture">
                <pic:pic xmlns:pic="http://schemas.openxmlformats.org/drawingml/2006/picture">
                  <pic:nvPicPr>
                    <pic:cNvPr id="5" name="Picture 4" descr="R:\Team Documents\Logos and guidelines\sccblacksquare-A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2905E" w14:textId="77777777" w:rsidR="00C92DEF" w:rsidRPr="00E11247" w:rsidRDefault="00512E32">
      <w:pPr>
        <w:rPr>
          <w:rFonts w:cs="Arial"/>
        </w:rPr>
      </w:pPr>
      <w:r>
        <w:rPr>
          <w:rFonts w:cs="Arial"/>
          <w:noProof/>
        </w:rPr>
        <w:drawing>
          <wp:anchor distT="0" distB="0" distL="114300" distR="114300" simplePos="0" relativeHeight="251661312" behindDoc="0" locked="0" layoutInCell="1" allowOverlap="1" wp14:anchorId="4E30427F" wp14:editId="2C73E8A4">
            <wp:simplePos x="0" y="0"/>
            <wp:positionH relativeFrom="margin">
              <wp:align>center</wp:align>
            </wp:positionH>
            <wp:positionV relativeFrom="paragraph">
              <wp:posOffset>5715</wp:posOffset>
            </wp:positionV>
            <wp:extent cx="2304415" cy="9525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952500"/>
                    </a:xfrm>
                    <a:prstGeom prst="rect">
                      <a:avLst/>
                    </a:prstGeom>
                    <a:noFill/>
                  </pic:spPr>
                </pic:pic>
              </a:graphicData>
            </a:graphic>
            <wp14:sizeRelH relativeFrom="page">
              <wp14:pctWidth>0</wp14:pctWidth>
            </wp14:sizeRelH>
            <wp14:sizeRelV relativeFrom="page">
              <wp14:pctHeight>0</wp14:pctHeight>
            </wp14:sizeRelV>
          </wp:anchor>
        </w:drawing>
      </w:r>
    </w:p>
    <w:p w14:paraId="086920AC" w14:textId="77777777" w:rsidR="00490CF6" w:rsidRPr="00E11247" w:rsidRDefault="00490CF6">
      <w:pPr>
        <w:rPr>
          <w:rFonts w:cs="Arial"/>
        </w:rPr>
      </w:pPr>
    </w:p>
    <w:p w14:paraId="441714A4" w14:textId="77777777" w:rsidR="00C92DEF" w:rsidRPr="00E11247" w:rsidRDefault="00C92DEF">
      <w:pPr>
        <w:rPr>
          <w:rFonts w:cs="Arial"/>
        </w:rPr>
      </w:pPr>
    </w:p>
    <w:p w14:paraId="447FAD39" w14:textId="77777777" w:rsidR="00C92DEF" w:rsidRPr="00E11247" w:rsidRDefault="00C92DEF">
      <w:pPr>
        <w:rPr>
          <w:rFonts w:cs="Arial"/>
        </w:rPr>
      </w:pPr>
    </w:p>
    <w:p w14:paraId="71252EC8" w14:textId="77777777" w:rsidR="00C92DEF" w:rsidRPr="00E11247" w:rsidRDefault="00C92DEF">
      <w:pPr>
        <w:rPr>
          <w:rFonts w:cs="Arial"/>
        </w:rPr>
      </w:pPr>
    </w:p>
    <w:p w14:paraId="3A80AF02" w14:textId="77777777" w:rsidR="00C92DEF" w:rsidRPr="00E11247" w:rsidRDefault="00C92DEF">
      <w:pPr>
        <w:rPr>
          <w:rFonts w:cs="Arial"/>
        </w:rPr>
      </w:pPr>
    </w:p>
    <w:p w14:paraId="75C6BF68" w14:textId="77777777" w:rsidR="00C92DEF" w:rsidRPr="00E11247" w:rsidRDefault="00C92DEF">
      <w:pPr>
        <w:rPr>
          <w:rFonts w:cs="Arial"/>
        </w:rPr>
      </w:pPr>
    </w:p>
    <w:p w14:paraId="64A9F742" w14:textId="77777777" w:rsidR="00C92DEF" w:rsidRPr="00E11247" w:rsidRDefault="00C92DEF">
      <w:pPr>
        <w:rPr>
          <w:rFonts w:cs="Arial"/>
        </w:rPr>
      </w:pPr>
    </w:p>
    <w:p w14:paraId="677F9031" w14:textId="77777777" w:rsidR="00C92DEF" w:rsidRPr="00E11247" w:rsidRDefault="00C92DEF">
      <w:pPr>
        <w:rPr>
          <w:rFonts w:cs="Arial"/>
        </w:rPr>
      </w:pPr>
    </w:p>
    <w:p w14:paraId="23CB9340" w14:textId="77777777" w:rsidR="00D57002" w:rsidRPr="00E11247" w:rsidRDefault="00D57002">
      <w:pPr>
        <w:rPr>
          <w:rFonts w:cs="Arial"/>
        </w:rPr>
      </w:pPr>
    </w:p>
    <w:p w14:paraId="53DCC3DC" w14:textId="77777777" w:rsidR="00C92DEF" w:rsidRPr="00E11247" w:rsidRDefault="00C92DEF" w:rsidP="00D57002">
      <w:pPr>
        <w:pBdr>
          <w:bottom w:val="single" w:sz="4" w:space="1" w:color="auto"/>
        </w:pBdr>
        <w:rPr>
          <w:rFonts w:cs="Arial"/>
        </w:rPr>
      </w:pPr>
    </w:p>
    <w:p w14:paraId="57529EF2" w14:textId="77777777" w:rsidR="00BA6E8F" w:rsidRPr="00E11247" w:rsidRDefault="00BA6E8F" w:rsidP="00D57002">
      <w:pPr>
        <w:pBdr>
          <w:bottom w:val="single" w:sz="4" w:space="1" w:color="auto"/>
        </w:pBdr>
        <w:rPr>
          <w:rFonts w:cs="Arial"/>
        </w:rPr>
      </w:pPr>
    </w:p>
    <w:p w14:paraId="17A88375" w14:textId="77777777" w:rsidR="00BA6E8F" w:rsidRPr="00E11247" w:rsidRDefault="00BA6E8F" w:rsidP="00D57002">
      <w:pPr>
        <w:pBdr>
          <w:bottom w:val="single" w:sz="4" w:space="1" w:color="auto"/>
        </w:pBdr>
        <w:rPr>
          <w:rFonts w:cs="Arial"/>
        </w:rPr>
      </w:pPr>
    </w:p>
    <w:p w14:paraId="36C7D54E" w14:textId="77777777" w:rsidR="00BA6E8F" w:rsidRPr="00E11247" w:rsidRDefault="00BA6E8F" w:rsidP="00D57002">
      <w:pPr>
        <w:pBdr>
          <w:bottom w:val="single" w:sz="4" w:space="1" w:color="auto"/>
        </w:pBdr>
        <w:rPr>
          <w:rFonts w:cs="Arial"/>
        </w:rPr>
      </w:pPr>
    </w:p>
    <w:p w14:paraId="2B4ED4D9" w14:textId="77777777" w:rsidR="00BA6E8F" w:rsidRPr="00E11247" w:rsidRDefault="00BA6E8F" w:rsidP="00D57002">
      <w:pPr>
        <w:pBdr>
          <w:bottom w:val="single" w:sz="4" w:space="1" w:color="auto"/>
        </w:pBdr>
        <w:rPr>
          <w:rFonts w:cs="Arial"/>
        </w:rPr>
      </w:pPr>
    </w:p>
    <w:p w14:paraId="0A485590" w14:textId="77777777" w:rsidR="00BA6E8F" w:rsidRPr="00E11247" w:rsidRDefault="00BA6E8F" w:rsidP="00D57002">
      <w:pPr>
        <w:pBdr>
          <w:bottom w:val="single" w:sz="4" w:space="1" w:color="auto"/>
        </w:pBdr>
        <w:rPr>
          <w:rFonts w:cs="Arial"/>
        </w:rPr>
      </w:pPr>
    </w:p>
    <w:p w14:paraId="140728CB" w14:textId="77777777" w:rsidR="00BA6E8F" w:rsidRPr="00E11247" w:rsidRDefault="00BA6E8F" w:rsidP="00D57002">
      <w:pPr>
        <w:pBdr>
          <w:bottom w:val="single" w:sz="4" w:space="1" w:color="auto"/>
        </w:pBdr>
        <w:rPr>
          <w:rFonts w:cs="Arial"/>
        </w:rPr>
      </w:pPr>
    </w:p>
    <w:p w14:paraId="71B49F0D" w14:textId="77777777" w:rsidR="00BA6E8F" w:rsidRPr="00E11247" w:rsidRDefault="00BA6E8F" w:rsidP="00D57002">
      <w:pPr>
        <w:pBdr>
          <w:bottom w:val="single" w:sz="4" w:space="1" w:color="auto"/>
        </w:pBdr>
        <w:rPr>
          <w:rFonts w:cs="Arial"/>
        </w:rPr>
      </w:pPr>
    </w:p>
    <w:p w14:paraId="3946B57A" w14:textId="77777777" w:rsidR="00BA6E8F" w:rsidRPr="00E11247" w:rsidRDefault="00BA6E8F" w:rsidP="00D57002">
      <w:pPr>
        <w:pBdr>
          <w:bottom w:val="single" w:sz="4" w:space="1" w:color="auto"/>
        </w:pBdr>
        <w:rPr>
          <w:rFonts w:cs="Arial"/>
        </w:rPr>
      </w:pPr>
    </w:p>
    <w:p w14:paraId="68ACD79E" w14:textId="77777777" w:rsidR="00BA6E8F" w:rsidRPr="00E11247" w:rsidRDefault="00BA6E8F" w:rsidP="00D57002">
      <w:pPr>
        <w:pBdr>
          <w:bottom w:val="single" w:sz="4" w:space="1" w:color="auto"/>
        </w:pBdr>
        <w:rPr>
          <w:rFonts w:cs="Arial"/>
        </w:rPr>
      </w:pPr>
    </w:p>
    <w:p w14:paraId="49D8C17B" w14:textId="77777777" w:rsidR="00C92DEF" w:rsidRPr="00E11247" w:rsidRDefault="00D001A5">
      <w:pPr>
        <w:rPr>
          <w:rFonts w:cs="Arial"/>
          <w:sz w:val="72"/>
          <w:szCs w:val="72"/>
        </w:rPr>
      </w:pPr>
      <w:r>
        <w:rPr>
          <w:rFonts w:cs="Arial"/>
          <w:sz w:val="72"/>
          <w:szCs w:val="72"/>
        </w:rPr>
        <w:t xml:space="preserve">Adult </w:t>
      </w:r>
      <w:r w:rsidR="00037303">
        <w:rPr>
          <w:rFonts w:cs="Arial"/>
          <w:sz w:val="72"/>
          <w:szCs w:val="72"/>
        </w:rPr>
        <w:t>Learning</w:t>
      </w:r>
    </w:p>
    <w:p w14:paraId="1B8379E8" w14:textId="77777777" w:rsidR="00C92DEF" w:rsidRPr="00E11247" w:rsidRDefault="00037303">
      <w:pPr>
        <w:rPr>
          <w:rFonts w:cs="Arial"/>
          <w:sz w:val="72"/>
          <w:szCs w:val="72"/>
        </w:rPr>
      </w:pPr>
      <w:r>
        <w:rPr>
          <w:rFonts w:cs="Arial"/>
          <w:sz w:val="72"/>
          <w:szCs w:val="72"/>
        </w:rPr>
        <w:t>Fees</w:t>
      </w:r>
      <w:r w:rsidR="00FE2A79">
        <w:rPr>
          <w:rFonts w:cs="Arial"/>
          <w:sz w:val="72"/>
          <w:szCs w:val="72"/>
        </w:rPr>
        <w:t xml:space="preserve"> Policy</w:t>
      </w:r>
    </w:p>
    <w:p w14:paraId="1DE8742D" w14:textId="5BF0F5AE" w:rsidR="00C92DEF" w:rsidRPr="00E11247" w:rsidRDefault="006D41DB" w:rsidP="00D57002">
      <w:pPr>
        <w:rPr>
          <w:rFonts w:cs="Arial"/>
          <w:sz w:val="72"/>
          <w:szCs w:val="72"/>
        </w:rPr>
      </w:pPr>
      <w:r>
        <w:rPr>
          <w:rFonts w:cs="Arial"/>
          <w:sz w:val="72"/>
          <w:szCs w:val="72"/>
        </w:rPr>
        <w:t>202</w:t>
      </w:r>
      <w:r w:rsidR="00647B38">
        <w:rPr>
          <w:rFonts w:cs="Arial"/>
          <w:sz w:val="72"/>
          <w:szCs w:val="72"/>
        </w:rPr>
        <w:t>1</w:t>
      </w:r>
      <w:r>
        <w:rPr>
          <w:rFonts w:cs="Arial"/>
          <w:sz w:val="72"/>
          <w:szCs w:val="72"/>
        </w:rPr>
        <w:t>-2</w:t>
      </w:r>
      <w:r w:rsidR="00647B38">
        <w:rPr>
          <w:rFonts w:cs="Arial"/>
          <w:sz w:val="72"/>
          <w:szCs w:val="72"/>
        </w:rPr>
        <w:t>2</w:t>
      </w:r>
    </w:p>
    <w:p w14:paraId="79BDB358" w14:textId="77777777" w:rsidR="00D57002" w:rsidRPr="00E11247" w:rsidRDefault="00D57002" w:rsidP="00D57002">
      <w:pPr>
        <w:pBdr>
          <w:top w:val="single" w:sz="4" w:space="1" w:color="auto"/>
        </w:pBdr>
        <w:rPr>
          <w:rFonts w:cs="Arial"/>
        </w:rPr>
      </w:pPr>
    </w:p>
    <w:p w14:paraId="7D961E5E" w14:textId="77777777" w:rsidR="00D57002" w:rsidRPr="00E11247" w:rsidRDefault="00D57002" w:rsidP="00D57002">
      <w:pPr>
        <w:rPr>
          <w:rFonts w:cs="Arial"/>
        </w:rPr>
      </w:pPr>
    </w:p>
    <w:p w14:paraId="0317EF78" w14:textId="77777777" w:rsidR="00881831" w:rsidRPr="00881831" w:rsidRDefault="00D57002" w:rsidP="002B6A71">
      <w:pPr>
        <w:jc w:val="center"/>
        <w:rPr>
          <w:rFonts w:eastAsiaTheme="minorHAnsi" w:cs="Arial"/>
          <w:sz w:val="40"/>
          <w:szCs w:val="40"/>
          <w:lang w:eastAsia="en-US"/>
        </w:rPr>
      </w:pPr>
      <w:r w:rsidRPr="00E11247">
        <w:rPr>
          <w:rFonts w:cs="Arial"/>
        </w:rPr>
        <w:br w:type="page"/>
      </w:r>
    </w:p>
    <w:p w14:paraId="484A70B0" w14:textId="77777777" w:rsidR="00037303" w:rsidRDefault="00037303" w:rsidP="00881831">
      <w:pPr>
        <w:spacing w:after="160" w:line="259" w:lineRule="auto"/>
        <w:jc w:val="center"/>
        <w:rPr>
          <w:rFonts w:eastAsiaTheme="minorHAnsi" w:cs="Arial"/>
          <w:sz w:val="40"/>
          <w:szCs w:val="40"/>
          <w:lang w:eastAsia="en-US"/>
        </w:rPr>
      </w:pPr>
    </w:p>
    <w:p w14:paraId="6AD1DC37" w14:textId="77777777" w:rsidR="00037303" w:rsidRPr="00563A1B" w:rsidRDefault="00744723" w:rsidP="00836A55">
      <w:pPr>
        <w:spacing w:line="360" w:lineRule="auto"/>
        <w:rPr>
          <w:rFonts w:eastAsiaTheme="minorHAnsi" w:cs="Arial"/>
          <w:b/>
          <w:lang w:eastAsia="en-US"/>
        </w:rPr>
      </w:pPr>
      <w:r w:rsidRPr="00563A1B">
        <w:rPr>
          <w:rFonts w:eastAsiaTheme="minorHAnsi" w:cs="Arial"/>
          <w:b/>
          <w:lang w:eastAsia="en-US"/>
        </w:rPr>
        <w:t xml:space="preserve">Southampton City Council Adult Learning </w:t>
      </w:r>
    </w:p>
    <w:p w14:paraId="0FFA1761" w14:textId="77777777" w:rsidR="00C40DE7" w:rsidRDefault="00C40DE7" w:rsidP="00836A55">
      <w:pPr>
        <w:spacing w:line="360" w:lineRule="auto"/>
      </w:pPr>
      <w:r>
        <w:t>Southampton City Council uses a commissioning model across its services, and subcontracts its Adult Education Budget (AEB) budget provision to:</w:t>
      </w:r>
    </w:p>
    <w:p w14:paraId="085F9F36" w14:textId="77777777" w:rsidR="00C40DE7" w:rsidRPr="0061778B" w:rsidRDefault="00C40DE7" w:rsidP="00836A55">
      <w:pPr>
        <w:spacing w:line="360" w:lineRule="auto"/>
        <w:rPr>
          <w:sz w:val="16"/>
          <w:szCs w:val="16"/>
        </w:rPr>
      </w:pPr>
    </w:p>
    <w:p w14:paraId="576B8C38" w14:textId="77777777" w:rsidR="00C40DE7" w:rsidRDefault="00C40DE7" w:rsidP="00836A55">
      <w:pPr>
        <w:numPr>
          <w:ilvl w:val="0"/>
          <w:numId w:val="5"/>
        </w:numPr>
        <w:spacing w:line="360" w:lineRule="auto"/>
      </w:pPr>
      <w:r>
        <w:t>Ensure value for money in line with our Procurement Strategy and Contract Procurement Rules, and Pound Plus;</w:t>
      </w:r>
    </w:p>
    <w:p w14:paraId="53EF239F" w14:textId="77777777" w:rsidR="00C40DE7" w:rsidRDefault="00C40DE7" w:rsidP="00836A55">
      <w:pPr>
        <w:numPr>
          <w:ilvl w:val="0"/>
          <w:numId w:val="5"/>
        </w:numPr>
        <w:spacing w:line="360" w:lineRule="auto"/>
      </w:pPr>
      <w:r>
        <w:t>Provide a responsive and flexible service to learners, and</w:t>
      </w:r>
    </w:p>
    <w:p w14:paraId="18367E74" w14:textId="77777777" w:rsidR="00C40DE7" w:rsidRDefault="00C40DE7" w:rsidP="00836A55">
      <w:pPr>
        <w:numPr>
          <w:ilvl w:val="0"/>
          <w:numId w:val="5"/>
        </w:numPr>
        <w:spacing w:line="360" w:lineRule="auto"/>
      </w:pPr>
      <w:r>
        <w:t>Offer a wide range of courses and venues to utilise the experience and expertise of many di</w:t>
      </w:r>
      <w:r w:rsidR="00481A40">
        <w:t>fferent</w:t>
      </w:r>
      <w:r>
        <w:t xml:space="preserve"> </w:t>
      </w:r>
      <w:r w:rsidR="00481A40">
        <w:t>Subcontractor</w:t>
      </w:r>
      <w:r>
        <w:t xml:space="preserve">s. </w:t>
      </w:r>
    </w:p>
    <w:p w14:paraId="7D9DECFF" w14:textId="77777777" w:rsidR="00C40DE7" w:rsidRPr="0061778B" w:rsidRDefault="00C40DE7" w:rsidP="00836A55">
      <w:pPr>
        <w:spacing w:line="360" w:lineRule="auto"/>
        <w:ind w:left="360"/>
        <w:rPr>
          <w:sz w:val="16"/>
          <w:szCs w:val="16"/>
        </w:rPr>
      </w:pPr>
    </w:p>
    <w:p w14:paraId="2E99F011" w14:textId="6E0F3F5B" w:rsidR="00C40DE7" w:rsidRPr="007E4CBF" w:rsidRDefault="00672707" w:rsidP="00836A55">
      <w:pPr>
        <w:spacing w:line="360" w:lineRule="auto"/>
        <w:rPr>
          <w:color w:val="FF0000"/>
        </w:rPr>
      </w:pPr>
      <w:r w:rsidRPr="00517981">
        <w:t xml:space="preserve">Around </w:t>
      </w:r>
      <w:r w:rsidR="00667439" w:rsidRPr="00517981">
        <w:t>79</w:t>
      </w:r>
      <w:r w:rsidR="00F70C7F" w:rsidRPr="00517981">
        <w:t xml:space="preserve">% </w:t>
      </w:r>
      <w:r w:rsidR="00F70C7F" w:rsidRPr="00F70C7F">
        <w:t>of provision is delivered via external sub-contractors who are appointed via a four</w:t>
      </w:r>
      <w:r w:rsidR="00C40DE7" w:rsidRPr="00F70C7F">
        <w:t xml:space="preserve"> year framework running from </w:t>
      </w:r>
      <w:r w:rsidR="00F70C7F" w:rsidRPr="00F70C7F">
        <w:t xml:space="preserve">July 2019 – July 2023. The rest is </w:t>
      </w:r>
      <w:r w:rsidR="00C40DE7" w:rsidRPr="00F70C7F">
        <w:t>delivered by internal delivery p</w:t>
      </w:r>
      <w:r w:rsidR="00F4588A" w:rsidRPr="00F70C7F">
        <w:t>artners</w:t>
      </w:r>
      <w:r w:rsidR="00C40DE7" w:rsidRPr="00F70C7F">
        <w:t>.  All subcontractors have formal contractual agreements which clearly lay out the rights and r</w:t>
      </w:r>
      <w:bookmarkStart w:id="0" w:name="_GoBack"/>
      <w:bookmarkEnd w:id="0"/>
      <w:r w:rsidR="00C40DE7" w:rsidRPr="00F70C7F">
        <w:t xml:space="preserve">esponsibilities on both sides of the subcontracting agreement for the full length of the framework.  Call-off contracts are entered into each academic year which detail delivery for that year. </w:t>
      </w:r>
    </w:p>
    <w:p w14:paraId="629B98B6" w14:textId="77777777" w:rsidR="00C40DE7" w:rsidRPr="0061778B" w:rsidRDefault="00C40DE7" w:rsidP="00836A55">
      <w:pPr>
        <w:spacing w:line="360" w:lineRule="auto"/>
        <w:rPr>
          <w:sz w:val="16"/>
          <w:szCs w:val="16"/>
        </w:rPr>
      </w:pPr>
    </w:p>
    <w:p w14:paraId="063E6479" w14:textId="77777777" w:rsidR="00C40DE7" w:rsidRDefault="00E021FA" w:rsidP="00836A55">
      <w:pPr>
        <w:spacing w:after="160" w:line="360" w:lineRule="auto"/>
        <w:rPr>
          <w:rFonts w:eastAsiaTheme="minorHAnsi" w:cs="Arial"/>
          <w:b/>
          <w:lang w:eastAsia="en-US"/>
        </w:rPr>
      </w:pPr>
      <w:r>
        <w:rPr>
          <w:rFonts w:eastAsiaTheme="minorHAnsi" w:cs="Arial"/>
          <w:b/>
          <w:lang w:eastAsia="en-US"/>
        </w:rPr>
        <w:t>Subcontractors Fee P</w:t>
      </w:r>
      <w:r w:rsidR="00744723" w:rsidRPr="00563A1B">
        <w:rPr>
          <w:rFonts w:eastAsiaTheme="minorHAnsi" w:cs="Arial"/>
          <w:b/>
          <w:lang w:eastAsia="en-US"/>
        </w:rPr>
        <w:t>olicies</w:t>
      </w:r>
    </w:p>
    <w:p w14:paraId="22A12E15" w14:textId="77777777" w:rsidR="00037303" w:rsidRDefault="005C7078" w:rsidP="00836A55">
      <w:pPr>
        <w:spacing w:after="160" w:line="360" w:lineRule="auto"/>
        <w:rPr>
          <w:rFonts w:eastAsiaTheme="minorHAnsi" w:cs="Arial"/>
          <w:lang w:eastAsia="en-US"/>
        </w:rPr>
      </w:pPr>
      <w:r w:rsidRPr="005C7078">
        <w:rPr>
          <w:rFonts w:eastAsiaTheme="minorHAnsi" w:cs="Arial"/>
          <w:lang w:eastAsia="en-US"/>
        </w:rPr>
        <w:t>It is a contractual requirement that all SCC commission</w:t>
      </w:r>
      <w:r>
        <w:rPr>
          <w:rFonts w:eastAsiaTheme="minorHAnsi" w:cs="Arial"/>
          <w:lang w:eastAsia="en-US"/>
        </w:rPr>
        <w:t xml:space="preserve">ed </w:t>
      </w:r>
      <w:r w:rsidR="00E021FA">
        <w:rPr>
          <w:rFonts w:eastAsiaTheme="minorHAnsi" w:cs="Arial"/>
          <w:lang w:eastAsia="en-US"/>
        </w:rPr>
        <w:t>Subcontractor</w:t>
      </w:r>
      <w:r>
        <w:rPr>
          <w:rFonts w:eastAsiaTheme="minorHAnsi" w:cs="Arial"/>
          <w:lang w:eastAsia="en-US"/>
        </w:rPr>
        <w:t xml:space="preserve">s must have a </w:t>
      </w:r>
      <w:r w:rsidRPr="005C7078">
        <w:rPr>
          <w:rFonts w:eastAsiaTheme="minorHAnsi" w:cs="Arial"/>
          <w:lang w:eastAsia="en-US"/>
        </w:rPr>
        <w:t>written fees policy for their clients.</w:t>
      </w:r>
      <w:r w:rsidR="008376E3">
        <w:rPr>
          <w:rFonts w:eastAsiaTheme="minorHAnsi" w:cs="Arial"/>
          <w:lang w:eastAsia="en-US"/>
        </w:rPr>
        <w:t xml:space="preserve"> A written template for this can be supplied if requested but </w:t>
      </w:r>
      <w:r w:rsidR="00CC6783">
        <w:rPr>
          <w:rFonts w:eastAsiaTheme="minorHAnsi" w:cs="Arial"/>
          <w:lang w:eastAsia="en-US"/>
        </w:rPr>
        <w:t xml:space="preserve">the Service will accept the </w:t>
      </w:r>
      <w:r w:rsidR="00E021FA">
        <w:rPr>
          <w:rFonts w:eastAsiaTheme="minorHAnsi" w:cs="Arial"/>
          <w:lang w:eastAsia="en-US"/>
        </w:rPr>
        <w:t>Subcontractor</w:t>
      </w:r>
      <w:r w:rsidR="00CC6783">
        <w:rPr>
          <w:rFonts w:eastAsiaTheme="minorHAnsi" w:cs="Arial"/>
          <w:lang w:eastAsia="en-US"/>
        </w:rPr>
        <w:t>’s own policy as long as it meets the stated requirements</w:t>
      </w:r>
      <w:r w:rsidR="00836A55">
        <w:rPr>
          <w:rFonts w:eastAsiaTheme="minorHAnsi" w:cs="Arial"/>
          <w:lang w:eastAsia="en-US"/>
        </w:rPr>
        <w:t xml:space="preserve"> detailed below as set out by the ESFA.</w:t>
      </w:r>
    </w:p>
    <w:p w14:paraId="1C7190FB" w14:textId="77777777" w:rsidR="00CC6783" w:rsidRPr="00CC6783" w:rsidRDefault="00CC6783" w:rsidP="00836A55">
      <w:pPr>
        <w:autoSpaceDE w:val="0"/>
        <w:autoSpaceDN w:val="0"/>
        <w:adjustRightInd w:val="0"/>
        <w:spacing w:line="360" w:lineRule="auto"/>
        <w:rPr>
          <w:rFonts w:cs="Arial"/>
          <w:b/>
          <w:color w:val="000000"/>
          <w:sz w:val="16"/>
          <w:szCs w:val="16"/>
        </w:rPr>
      </w:pPr>
    </w:p>
    <w:p w14:paraId="4BD3AD3F" w14:textId="77777777" w:rsidR="00CC6783" w:rsidRPr="00CC6783" w:rsidRDefault="00CC6783" w:rsidP="00836A55">
      <w:pPr>
        <w:spacing w:line="360" w:lineRule="auto"/>
        <w:rPr>
          <w:b/>
          <w:u w:val="single"/>
        </w:rPr>
      </w:pPr>
      <w:r w:rsidRPr="00CC6783">
        <w:rPr>
          <w:b/>
          <w:u w:val="single"/>
        </w:rPr>
        <w:t>1. Compulsory Charges</w:t>
      </w:r>
    </w:p>
    <w:p w14:paraId="12AA2F58" w14:textId="77777777" w:rsidR="00BE7FEF" w:rsidRPr="00F70C7F" w:rsidRDefault="00B700D8" w:rsidP="00836A55">
      <w:pPr>
        <w:spacing w:line="360" w:lineRule="auto"/>
      </w:pPr>
      <w:r w:rsidRPr="00F70C7F">
        <w:t>The</w:t>
      </w:r>
      <w:r w:rsidRPr="00F70C7F">
        <w:rPr>
          <w:lang w:val="en"/>
        </w:rPr>
        <w:t xml:space="preserve"> Adult Education Budget Funding and Performance Management Rules </w:t>
      </w:r>
      <w:r w:rsidRPr="00F70C7F">
        <w:t xml:space="preserve">require that </w:t>
      </w:r>
      <w:r w:rsidR="00481A40" w:rsidRPr="00F70C7F">
        <w:t>Subcontractor</w:t>
      </w:r>
      <w:r w:rsidR="00CE434A" w:rsidRPr="00F70C7F">
        <w:t xml:space="preserve">s </w:t>
      </w:r>
      <w:r w:rsidR="00BE7FEF" w:rsidRPr="00F70C7F">
        <w:t xml:space="preserve">must not make compulsory charges relating to the direct costs of delivering a learning aim to learners </w:t>
      </w:r>
      <w:r w:rsidR="00CE434A" w:rsidRPr="00F70C7F">
        <w:t>they</w:t>
      </w:r>
      <w:r w:rsidR="00BE7FEF" w:rsidRPr="00F70C7F">
        <w:t xml:space="preserve"> fully fund, including those with a statutory entitlement to full funding for their learning. Direct costs include any essential activities or materials without which the learner could not complete and achieve their learning. </w:t>
      </w:r>
    </w:p>
    <w:p w14:paraId="25E6F433" w14:textId="77777777" w:rsidR="00BE7FEF" w:rsidRPr="00F70C7F" w:rsidRDefault="00BE7FEF" w:rsidP="00836A55">
      <w:pPr>
        <w:spacing w:line="360" w:lineRule="auto"/>
      </w:pPr>
      <w:r w:rsidRPr="00F70C7F">
        <w:t xml:space="preserve">If a fully funded learner needs a Disclosure and Barring Service check to participate in learning, </w:t>
      </w:r>
      <w:r w:rsidR="00481A40" w:rsidRPr="00F70C7F">
        <w:t>Subcontractor</w:t>
      </w:r>
      <w:r w:rsidR="00CE434A" w:rsidRPr="00F70C7F">
        <w:t>s</w:t>
      </w:r>
      <w:r w:rsidRPr="00F70C7F">
        <w:t xml:space="preserve"> cannot charge them for this. </w:t>
      </w:r>
    </w:p>
    <w:p w14:paraId="283308F8" w14:textId="77777777" w:rsidR="00C468DB" w:rsidRDefault="00C468DB" w:rsidP="00836A55">
      <w:pPr>
        <w:spacing w:line="360" w:lineRule="auto"/>
      </w:pPr>
    </w:p>
    <w:p w14:paraId="48EBCDA9" w14:textId="77777777" w:rsidR="00C468DB" w:rsidRPr="00B700D8" w:rsidRDefault="00C468DB" w:rsidP="00836A55">
      <w:pPr>
        <w:spacing w:line="360" w:lineRule="auto"/>
      </w:pPr>
    </w:p>
    <w:p w14:paraId="193DB5BF" w14:textId="77777777" w:rsidR="00B00015" w:rsidRDefault="00B00015" w:rsidP="00836A55">
      <w:pPr>
        <w:autoSpaceDE w:val="0"/>
        <w:autoSpaceDN w:val="0"/>
        <w:adjustRightInd w:val="0"/>
        <w:spacing w:line="360" w:lineRule="auto"/>
        <w:rPr>
          <w:rFonts w:cs="Arial"/>
          <w:color w:val="000000"/>
        </w:rPr>
      </w:pPr>
    </w:p>
    <w:p w14:paraId="6F7222B2" w14:textId="77777777" w:rsidR="00836A55" w:rsidRPr="00B700D8" w:rsidRDefault="00836A55" w:rsidP="00836A55">
      <w:pPr>
        <w:autoSpaceDE w:val="0"/>
        <w:autoSpaceDN w:val="0"/>
        <w:adjustRightInd w:val="0"/>
        <w:spacing w:line="360" w:lineRule="auto"/>
        <w:rPr>
          <w:rFonts w:cs="Arial"/>
          <w:color w:val="000000"/>
        </w:rPr>
      </w:pPr>
    </w:p>
    <w:p w14:paraId="08A9FD5B" w14:textId="77777777" w:rsidR="00CC6783" w:rsidRDefault="00CC6783" w:rsidP="00836A55">
      <w:pPr>
        <w:autoSpaceDE w:val="0"/>
        <w:autoSpaceDN w:val="0"/>
        <w:adjustRightInd w:val="0"/>
        <w:spacing w:after="100" w:line="360" w:lineRule="auto"/>
        <w:rPr>
          <w:rFonts w:cs="Arial"/>
          <w:color w:val="000000"/>
        </w:rPr>
      </w:pPr>
      <w:r w:rsidRPr="00CC6783">
        <w:rPr>
          <w:rFonts w:cs="Arial"/>
          <w:b/>
          <w:bCs/>
          <w:color w:val="000000"/>
          <w:u w:val="single"/>
        </w:rPr>
        <w:t xml:space="preserve">2. </w:t>
      </w:r>
      <w:r w:rsidR="00E021FA">
        <w:rPr>
          <w:rFonts w:cs="Arial"/>
          <w:b/>
          <w:bCs/>
          <w:color w:val="000000"/>
          <w:u w:val="single"/>
        </w:rPr>
        <w:t>Local F</w:t>
      </w:r>
      <w:r w:rsidR="00B00015" w:rsidRPr="00CC6783">
        <w:rPr>
          <w:rFonts w:cs="Arial"/>
          <w:b/>
          <w:bCs/>
          <w:color w:val="000000"/>
          <w:u w:val="single"/>
        </w:rPr>
        <w:t xml:space="preserve">ee </w:t>
      </w:r>
      <w:r w:rsidR="00E021FA">
        <w:rPr>
          <w:rFonts w:cs="Arial"/>
          <w:b/>
          <w:bCs/>
          <w:color w:val="000000"/>
          <w:u w:val="single"/>
        </w:rPr>
        <w:t>Remission P</w:t>
      </w:r>
      <w:r w:rsidR="00B00015" w:rsidRPr="00CC6783">
        <w:rPr>
          <w:rFonts w:cs="Arial"/>
          <w:b/>
          <w:bCs/>
          <w:color w:val="000000"/>
          <w:u w:val="single"/>
        </w:rPr>
        <w:t>olicy</w:t>
      </w:r>
    </w:p>
    <w:p w14:paraId="7C6934BE" w14:textId="77777777" w:rsidR="00B00015" w:rsidRPr="00B700D8" w:rsidRDefault="00481A40" w:rsidP="00836A55">
      <w:pPr>
        <w:autoSpaceDE w:val="0"/>
        <w:autoSpaceDN w:val="0"/>
        <w:adjustRightInd w:val="0"/>
        <w:spacing w:after="100" w:line="360" w:lineRule="auto"/>
        <w:rPr>
          <w:rFonts w:cs="Arial"/>
          <w:color w:val="000000"/>
        </w:rPr>
      </w:pPr>
      <w:r>
        <w:rPr>
          <w:rFonts w:cs="Arial"/>
          <w:color w:val="000000"/>
        </w:rPr>
        <w:t>Subcontractor</w:t>
      </w:r>
      <w:r w:rsidR="00CC6783">
        <w:rPr>
          <w:rFonts w:cs="Arial"/>
          <w:color w:val="000000"/>
        </w:rPr>
        <w:t>s</w:t>
      </w:r>
      <w:r w:rsidR="00B00015" w:rsidRPr="00B700D8">
        <w:rPr>
          <w:rFonts w:cs="Arial"/>
          <w:color w:val="000000"/>
        </w:rPr>
        <w:t xml:space="preserve"> must have in place and operate a fair and transparent community learning local fee remission policy that requires individuals to pay a course / tuition / joining fee, but also sets out clear eligibility criteria for those individuals who, due to their circumstances, qualify for either partial or total fee remission. </w:t>
      </w:r>
    </w:p>
    <w:p w14:paraId="6B194F10" w14:textId="77777777" w:rsidR="00B00015" w:rsidRPr="00B700D8" w:rsidRDefault="00B00015" w:rsidP="00836A55">
      <w:pPr>
        <w:spacing w:line="360" w:lineRule="auto"/>
        <w:rPr>
          <w:rFonts w:eastAsiaTheme="minorHAnsi" w:cs="Arial"/>
          <w:lang w:eastAsia="en-US"/>
        </w:rPr>
      </w:pPr>
    </w:p>
    <w:p w14:paraId="44FB0456" w14:textId="77777777" w:rsidR="00356A15" w:rsidRPr="00CC6783" w:rsidRDefault="00CC6783" w:rsidP="00836A55">
      <w:pPr>
        <w:pStyle w:val="Style1"/>
        <w:tabs>
          <w:tab w:val="clear" w:pos="360"/>
        </w:tabs>
        <w:spacing w:line="360" w:lineRule="auto"/>
        <w:rPr>
          <w:rFonts w:cs="Arial"/>
          <w:b/>
          <w:sz w:val="24"/>
          <w:szCs w:val="24"/>
          <w:u w:val="single"/>
        </w:rPr>
      </w:pPr>
      <w:r w:rsidRPr="00CC6783">
        <w:rPr>
          <w:rFonts w:cs="Arial"/>
          <w:b/>
          <w:sz w:val="24"/>
          <w:szCs w:val="24"/>
          <w:u w:val="single"/>
        </w:rPr>
        <w:t xml:space="preserve">3. </w:t>
      </w:r>
      <w:r w:rsidR="00356A15" w:rsidRPr="00CC6783">
        <w:rPr>
          <w:rFonts w:cs="Arial"/>
          <w:b/>
          <w:sz w:val="24"/>
          <w:szCs w:val="24"/>
          <w:u w:val="single"/>
        </w:rPr>
        <w:t>Learner Support</w:t>
      </w:r>
    </w:p>
    <w:p w14:paraId="6CE223E4" w14:textId="77777777" w:rsidR="00356A15" w:rsidRPr="00D7576E" w:rsidRDefault="00356A15" w:rsidP="00836A55">
      <w:pPr>
        <w:pStyle w:val="BodyTextIndent2"/>
        <w:spacing w:line="360" w:lineRule="auto"/>
        <w:ind w:left="0"/>
        <w:rPr>
          <w:rFonts w:cs="Arial"/>
          <w:i w:val="0"/>
          <w:szCs w:val="24"/>
        </w:rPr>
      </w:pPr>
      <w:r w:rsidRPr="00D7576E">
        <w:rPr>
          <w:rFonts w:cs="Arial"/>
          <w:i w:val="0"/>
          <w:szCs w:val="24"/>
        </w:rPr>
        <w:t xml:space="preserve">Learner support relates to discretionary support for learners on courses that are expected to enhance their skills, competence or personal development, so as to contribute to their future training, education, employability or self-employment, </w:t>
      </w:r>
      <w:r w:rsidR="00836A55" w:rsidRPr="00D7576E">
        <w:rPr>
          <w:rFonts w:cs="Arial"/>
          <w:i w:val="0"/>
          <w:szCs w:val="24"/>
        </w:rPr>
        <w:t>e.g.</w:t>
      </w:r>
      <w:r w:rsidR="006310AE">
        <w:rPr>
          <w:rFonts w:cs="Arial"/>
          <w:i w:val="0"/>
          <w:szCs w:val="24"/>
        </w:rPr>
        <w:t xml:space="preserve"> </w:t>
      </w:r>
      <w:r w:rsidRPr="00D7576E">
        <w:rPr>
          <w:rFonts w:cs="Arial"/>
          <w:i w:val="0"/>
          <w:szCs w:val="24"/>
        </w:rPr>
        <w:t xml:space="preserve">transport; assistance toward crèche facilities.  It is likely that were such support not available, some learners may be excluded from the provision. </w:t>
      </w:r>
    </w:p>
    <w:p w14:paraId="3A87DB10" w14:textId="77777777" w:rsidR="00356A15" w:rsidRPr="00D7576E" w:rsidRDefault="00356A15" w:rsidP="00836A55">
      <w:pPr>
        <w:pStyle w:val="BodyTextIndent2"/>
        <w:spacing w:line="360" w:lineRule="auto"/>
        <w:ind w:left="0"/>
        <w:rPr>
          <w:rFonts w:cs="Arial"/>
          <w:i w:val="0"/>
          <w:szCs w:val="24"/>
        </w:rPr>
      </w:pPr>
    </w:p>
    <w:p w14:paraId="08EBCAC2" w14:textId="77777777" w:rsidR="00356A15" w:rsidRPr="00D7576E" w:rsidRDefault="00481A40" w:rsidP="00836A55">
      <w:pPr>
        <w:pStyle w:val="BodyTextIndent2"/>
        <w:spacing w:line="360" w:lineRule="auto"/>
        <w:ind w:left="0"/>
        <w:rPr>
          <w:rFonts w:cs="Arial"/>
          <w:i w:val="0"/>
          <w:szCs w:val="24"/>
        </w:rPr>
      </w:pPr>
      <w:r>
        <w:rPr>
          <w:rFonts w:cs="Arial"/>
          <w:i w:val="0"/>
          <w:szCs w:val="24"/>
        </w:rPr>
        <w:t>Subcontractor</w:t>
      </w:r>
      <w:r w:rsidR="00356A15" w:rsidRPr="00D7576E">
        <w:rPr>
          <w:rFonts w:cs="Arial"/>
          <w:i w:val="0"/>
          <w:szCs w:val="24"/>
        </w:rPr>
        <w:t xml:space="preserve">s should request funding for learner support </w:t>
      </w:r>
      <w:r>
        <w:rPr>
          <w:rFonts w:cs="Arial"/>
          <w:i w:val="0"/>
          <w:szCs w:val="24"/>
        </w:rPr>
        <w:t>via email to Southampton City Council Adult learning team</w:t>
      </w:r>
      <w:r w:rsidR="00356A15" w:rsidRPr="00D7576E">
        <w:rPr>
          <w:rFonts w:cs="Arial"/>
          <w:i w:val="0"/>
          <w:szCs w:val="24"/>
        </w:rPr>
        <w:t>, outlin</w:t>
      </w:r>
      <w:r>
        <w:rPr>
          <w:rFonts w:cs="Arial"/>
          <w:i w:val="0"/>
          <w:szCs w:val="24"/>
        </w:rPr>
        <w:t>ing</w:t>
      </w:r>
      <w:r w:rsidR="00356A15" w:rsidRPr="00D7576E">
        <w:rPr>
          <w:rFonts w:cs="Arial"/>
          <w:i w:val="0"/>
          <w:szCs w:val="24"/>
        </w:rPr>
        <w:t xml:space="preserve"> specific details of the level of support required.  The funding is allocated on an individual learner basis, according to the resource available.  </w:t>
      </w:r>
      <w:r>
        <w:rPr>
          <w:rFonts w:cs="Arial"/>
          <w:i w:val="0"/>
          <w:szCs w:val="24"/>
        </w:rPr>
        <w:t>As the Service does not receive any funding to support this, the learner need would have to be exceptional for any support to be given.</w:t>
      </w:r>
    </w:p>
    <w:p w14:paraId="58CE3510" w14:textId="77777777" w:rsidR="00356A15" w:rsidRPr="00D7576E" w:rsidRDefault="00356A15" w:rsidP="00836A55">
      <w:pPr>
        <w:pStyle w:val="BodyTextIndent2"/>
        <w:spacing w:line="360" w:lineRule="auto"/>
        <w:ind w:left="0"/>
        <w:rPr>
          <w:rFonts w:cs="Arial"/>
          <w:i w:val="0"/>
          <w:szCs w:val="24"/>
        </w:rPr>
      </w:pPr>
    </w:p>
    <w:p w14:paraId="79D696AD" w14:textId="77777777" w:rsidR="00356A15" w:rsidRPr="00CC6783" w:rsidRDefault="00CC6783" w:rsidP="00836A55">
      <w:pPr>
        <w:pStyle w:val="Heading4"/>
        <w:spacing w:line="360" w:lineRule="auto"/>
        <w:ind w:left="0"/>
        <w:rPr>
          <w:rFonts w:cs="Arial"/>
          <w:b/>
          <w:i w:val="0"/>
          <w:szCs w:val="24"/>
          <w:u w:val="single"/>
        </w:rPr>
      </w:pPr>
      <w:r w:rsidRPr="00CC6783">
        <w:rPr>
          <w:rFonts w:cs="Arial"/>
          <w:b/>
          <w:i w:val="0"/>
          <w:szCs w:val="24"/>
          <w:u w:val="single"/>
        </w:rPr>
        <w:t xml:space="preserve">4. </w:t>
      </w:r>
      <w:r w:rsidR="00356A15" w:rsidRPr="00CC6783">
        <w:rPr>
          <w:rFonts w:cs="Arial"/>
          <w:b/>
          <w:i w:val="0"/>
          <w:szCs w:val="24"/>
          <w:u w:val="single"/>
        </w:rPr>
        <w:t xml:space="preserve">Learning Support </w:t>
      </w:r>
    </w:p>
    <w:p w14:paraId="385F7252" w14:textId="77777777" w:rsidR="00356A15" w:rsidRPr="00D7576E" w:rsidRDefault="00356A15" w:rsidP="00836A55">
      <w:pPr>
        <w:pStyle w:val="BodyTextIndent2"/>
        <w:spacing w:line="360" w:lineRule="auto"/>
        <w:ind w:left="0"/>
        <w:rPr>
          <w:rFonts w:cs="Arial"/>
          <w:i w:val="0"/>
          <w:szCs w:val="24"/>
        </w:rPr>
      </w:pPr>
      <w:r w:rsidRPr="00D7576E">
        <w:rPr>
          <w:rFonts w:cs="Arial"/>
          <w:i w:val="0"/>
          <w:szCs w:val="24"/>
        </w:rPr>
        <w:t>Learning support refers to arrangements that are required to provide direct additional support for learning by individual learners, over and above that which is normally provided in a standard learning programme. The additional learning support is required to help learners progress towards and successfully achieve, their learning goals.</w:t>
      </w:r>
    </w:p>
    <w:p w14:paraId="40B176DA" w14:textId="77777777" w:rsidR="00356A15" w:rsidRPr="00D7576E" w:rsidRDefault="00356A15" w:rsidP="00836A55">
      <w:pPr>
        <w:pStyle w:val="BodyTextIndent2"/>
        <w:spacing w:line="360" w:lineRule="auto"/>
        <w:ind w:left="0"/>
        <w:rPr>
          <w:rFonts w:cs="Arial"/>
          <w:i w:val="0"/>
          <w:szCs w:val="24"/>
        </w:rPr>
      </w:pPr>
    </w:p>
    <w:p w14:paraId="73295279" w14:textId="77777777" w:rsidR="00356A15" w:rsidRPr="00D7576E" w:rsidRDefault="00356A15" w:rsidP="00836A55">
      <w:pPr>
        <w:pStyle w:val="BodyTextIndent2"/>
        <w:spacing w:line="360" w:lineRule="auto"/>
        <w:ind w:left="0"/>
        <w:rPr>
          <w:rFonts w:cs="Arial"/>
          <w:i w:val="0"/>
          <w:szCs w:val="24"/>
        </w:rPr>
      </w:pPr>
      <w:r w:rsidRPr="00D7576E">
        <w:rPr>
          <w:rFonts w:cs="Arial"/>
          <w:i w:val="0"/>
          <w:szCs w:val="24"/>
        </w:rPr>
        <w:t xml:space="preserve">The need for additional support may arise from a learning difficulty or disability, or from literacy, numeracy or language support requirements, </w:t>
      </w:r>
      <w:r w:rsidR="00836A55" w:rsidRPr="00D7576E">
        <w:rPr>
          <w:rFonts w:cs="Arial"/>
          <w:i w:val="0"/>
          <w:szCs w:val="24"/>
        </w:rPr>
        <w:t>e.g.</w:t>
      </w:r>
      <w:r w:rsidRPr="00D7576E">
        <w:rPr>
          <w:rFonts w:cs="Arial"/>
          <w:i w:val="0"/>
          <w:szCs w:val="24"/>
        </w:rPr>
        <w:t xml:space="preserve"> specialist computer keyboard or mouse for a disabled learner; specialist software for a blind student; or additional / specialist advice and guidance at the end of a course to enable progression. </w:t>
      </w:r>
    </w:p>
    <w:p w14:paraId="134DDE87" w14:textId="77777777" w:rsidR="00356A15" w:rsidRPr="00D7576E" w:rsidRDefault="00356A15" w:rsidP="00836A55">
      <w:pPr>
        <w:pStyle w:val="BodyTextIndent2"/>
        <w:spacing w:line="360" w:lineRule="auto"/>
        <w:ind w:left="576"/>
        <w:rPr>
          <w:rFonts w:cs="Arial"/>
          <w:i w:val="0"/>
          <w:szCs w:val="24"/>
        </w:rPr>
      </w:pPr>
    </w:p>
    <w:p w14:paraId="2D5E8A2E" w14:textId="77777777" w:rsidR="00356A15" w:rsidRPr="00D7576E" w:rsidRDefault="00481A40" w:rsidP="00836A55">
      <w:pPr>
        <w:pStyle w:val="BodyTextIndent2"/>
        <w:spacing w:line="360" w:lineRule="auto"/>
        <w:ind w:left="0"/>
        <w:rPr>
          <w:rFonts w:cs="Arial"/>
          <w:i w:val="0"/>
          <w:iCs/>
          <w:szCs w:val="24"/>
        </w:rPr>
      </w:pPr>
      <w:r>
        <w:rPr>
          <w:rFonts w:cs="Arial"/>
          <w:i w:val="0"/>
          <w:iCs/>
          <w:szCs w:val="24"/>
        </w:rPr>
        <w:t>Subcontractor</w:t>
      </w:r>
      <w:r w:rsidR="00356A15" w:rsidRPr="00D7576E">
        <w:rPr>
          <w:rFonts w:cs="Arial"/>
          <w:i w:val="0"/>
          <w:iCs/>
          <w:szCs w:val="24"/>
        </w:rPr>
        <w:t xml:space="preserve">s should request funding for learning support, outlining specific details of level of support required.  The funding is allocated on an individual learner basis.  </w:t>
      </w:r>
    </w:p>
    <w:p w14:paraId="1EE7D5D6" w14:textId="77777777" w:rsidR="00356A15" w:rsidRPr="00D7576E" w:rsidRDefault="00356A15" w:rsidP="00836A55">
      <w:pPr>
        <w:pStyle w:val="BodyTextIndent2"/>
        <w:spacing w:line="360" w:lineRule="auto"/>
        <w:ind w:left="0"/>
        <w:rPr>
          <w:rFonts w:cs="Arial"/>
          <w:i w:val="0"/>
          <w:iCs/>
          <w:szCs w:val="24"/>
        </w:rPr>
      </w:pPr>
    </w:p>
    <w:p w14:paraId="3F034563" w14:textId="77777777" w:rsidR="00356A15" w:rsidRPr="00CC6783" w:rsidRDefault="00356A15" w:rsidP="00836A55">
      <w:pPr>
        <w:pStyle w:val="BodyTextIndent2"/>
        <w:spacing w:line="360" w:lineRule="auto"/>
        <w:ind w:left="0"/>
        <w:rPr>
          <w:rFonts w:cs="Arial"/>
          <w:i w:val="0"/>
          <w:szCs w:val="24"/>
        </w:rPr>
      </w:pPr>
      <w:r w:rsidRPr="00CC6783">
        <w:rPr>
          <w:rFonts w:cs="Arial"/>
          <w:i w:val="0"/>
          <w:iCs/>
          <w:szCs w:val="24"/>
        </w:rPr>
        <w:lastRenderedPageBreak/>
        <w:t>Evidence of expenditure for learner and learning support will be required for audit purposes.  Any learning support equipment purchased will remain the property</w:t>
      </w:r>
      <w:r w:rsidR="00481A40">
        <w:rPr>
          <w:rFonts w:cs="Arial"/>
          <w:i w:val="0"/>
          <w:iCs/>
          <w:szCs w:val="24"/>
        </w:rPr>
        <w:t xml:space="preserve"> of</w:t>
      </w:r>
      <w:r w:rsidRPr="00CC6783">
        <w:rPr>
          <w:rFonts w:cs="Arial"/>
          <w:i w:val="0"/>
          <w:iCs/>
          <w:szCs w:val="24"/>
        </w:rPr>
        <w:t xml:space="preserve"> </w:t>
      </w:r>
      <w:r w:rsidR="00481A40">
        <w:rPr>
          <w:rFonts w:cs="Arial"/>
          <w:i w:val="0"/>
          <w:iCs/>
          <w:szCs w:val="24"/>
        </w:rPr>
        <w:t>Southampton</w:t>
      </w:r>
      <w:r w:rsidRPr="00CC6783">
        <w:rPr>
          <w:rFonts w:cs="Arial"/>
          <w:i w:val="0"/>
          <w:iCs/>
          <w:szCs w:val="24"/>
        </w:rPr>
        <w:t xml:space="preserve"> Council</w:t>
      </w:r>
      <w:r w:rsidRPr="00CC6783">
        <w:rPr>
          <w:rFonts w:cs="Arial"/>
          <w:szCs w:val="24"/>
        </w:rPr>
        <w:t>.</w:t>
      </w:r>
    </w:p>
    <w:p w14:paraId="7B89CE36" w14:textId="77777777" w:rsidR="00037303" w:rsidRPr="00CC6783" w:rsidRDefault="00037303" w:rsidP="00836A55">
      <w:pPr>
        <w:spacing w:line="360" w:lineRule="auto"/>
        <w:rPr>
          <w:rFonts w:eastAsiaTheme="minorHAnsi" w:cs="Arial"/>
          <w:u w:val="single"/>
          <w:lang w:eastAsia="en-US"/>
        </w:rPr>
      </w:pPr>
    </w:p>
    <w:p w14:paraId="70B8F95B" w14:textId="77777777" w:rsidR="00356A15" w:rsidRPr="00CC6783" w:rsidRDefault="00CC6783" w:rsidP="00836A55">
      <w:pPr>
        <w:pStyle w:val="Style1"/>
        <w:tabs>
          <w:tab w:val="clear" w:pos="360"/>
        </w:tabs>
        <w:spacing w:line="360" w:lineRule="auto"/>
        <w:rPr>
          <w:rFonts w:cs="Arial"/>
          <w:b/>
          <w:sz w:val="24"/>
          <w:szCs w:val="24"/>
          <w:u w:val="single"/>
        </w:rPr>
      </w:pPr>
      <w:bookmarkStart w:id="1" w:name="OLE_LINK3"/>
      <w:bookmarkStart w:id="2" w:name="OLE_LINK4"/>
      <w:r w:rsidRPr="00CC6783">
        <w:rPr>
          <w:rFonts w:cs="Arial"/>
          <w:b/>
          <w:sz w:val="24"/>
          <w:szCs w:val="24"/>
          <w:u w:val="single"/>
        </w:rPr>
        <w:t xml:space="preserve">5. </w:t>
      </w:r>
      <w:r w:rsidR="00356A15" w:rsidRPr="00CC6783">
        <w:rPr>
          <w:rFonts w:cs="Arial"/>
          <w:b/>
          <w:sz w:val="24"/>
          <w:szCs w:val="24"/>
          <w:u w:val="single"/>
        </w:rPr>
        <w:t>Crèche Support on Family Programmes</w:t>
      </w:r>
    </w:p>
    <w:p w14:paraId="03430F20" w14:textId="77777777" w:rsidR="00356A15" w:rsidRPr="00D7576E" w:rsidRDefault="002F1D77" w:rsidP="00836A55">
      <w:pPr>
        <w:pStyle w:val="BodyTextIndent2"/>
        <w:spacing w:line="360" w:lineRule="auto"/>
        <w:ind w:left="0"/>
        <w:rPr>
          <w:rFonts w:cs="Arial"/>
          <w:i w:val="0"/>
          <w:szCs w:val="24"/>
        </w:rPr>
      </w:pPr>
      <w:r>
        <w:rPr>
          <w:rFonts w:cs="Arial"/>
          <w:i w:val="0"/>
          <w:szCs w:val="24"/>
        </w:rPr>
        <w:t>Family p</w:t>
      </w:r>
      <w:r w:rsidR="00356A15" w:rsidRPr="00D7576E">
        <w:rPr>
          <w:rFonts w:cs="Arial"/>
          <w:i w:val="0"/>
          <w:szCs w:val="24"/>
        </w:rPr>
        <w:t>rogrammes aim to encourage family members to learn together and the funding includes an element to cover the costs for the children enrolled on the course.  As such, no claims for crèche costs should be made relating to the children on the course. Learner support relating to crèche facilities for children that are not enrolled on the course, for example younger siblings, may be requested but a clear distinction needs to be made between those children on the course and those for which a crèche is required.</w:t>
      </w:r>
      <w:r>
        <w:rPr>
          <w:rFonts w:cs="Arial"/>
          <w:i w:val="0"/>
          <w:szCs w:val="24"/>
        </w:rPr>
        <w:t xml:space="preserve"> All appropriate crèche costs should be included in the initial funding bid made as part of the annual mini-competition. Crèche costs cannot be claimed separately once the funding for the course have been agreed.</w:t>
      </w:r>
    </w:p>
    <w:p w14:paraId="3EA7E3DD" w14:textId="77777777" w:rsidR="00356A15" w:rsidRPr="00D7576E" w:rsidRDefault="00356A15" w:rsidP="00CC6783">
      <w:pPr>
        <w:pStyle w:val="BodyTextIndent2"/>
        <w:spacing w:line="360" w:lineRule="auto"/>
        <w:rPr>
          <w:rFonts w:cs="Arial"/>
          <w:i w:val="0"/>
          <w:szCs w:val="24"/>
        </w:rPr>
      </w:pPr>
    </w:p>
    <w:bookmarkEnd w:id="1"/>
    <w:bookmarkEnd w:id="2"/>
    <w:p w14:paraId="49DD79B1" w14:textId="77777777" w:rsidR="00037303" w:rsidRDefault="00037303" w:rsidP="00CC6783">
      <w:pPr>
        <w:spacing w:line="360" w:lineRule="auto"/>
        <w:rPr>
          <w:rFonts w:eastAsiaTheme="minorHAnsi" w:cs="Arial"/>
          <w:sz w:val="40"/>
          <w:szCs w:val="40"/>
          <w:lang w:eastAsia="en-US"/>
        </w:rPr>
      </w:pPr>
    </w:p>
    <w:p w14:paraId="50925510" w14:textId="77777777" w:rsidR="00037303" w:rsidRDefault="00037303" w:rsidP="00CC6783">
      <w:pPr>
        <w:spacing w:line="360" w:lineRule="auto"/>
        <w:rPr>
          <w:rFonts w:eastAsiaTheme="minorHAnsi" w:cs="Arial"/>
          <w:sz w:val="40"/>
          <w:szCs w:val="40"/>
          <w:lang w:eastAsia="en-US"/>
        </w:rPr>
      </w:pPr>
    </w:p>
    <w:p w14:paraId="18D637E2" w14:textId="77777777" w:rsidR="00881831" w:rsidRPr="00037303" w:rsidRDefault="00037303" w:rsidP="00CC6783">
      <w:pPr>
        <w:tabs>
          <w:tab w:val="left" w:pos="1830"/>
        </w:tabs>
        <w:spacing w:line="360" w:lineRule="auto"/>
        <w:rPr>
          <w:rFonts w:eastAsiaTheme="minorHAnsi" w:cs="Arial"/>
          <w:sz w:val="40"/>
          <w:szCs w:val="40"/>
          <w:lang w:eastAsia="en-US"/>
        </w:rPr>
      </w:pPr>
      <w:r>
        <w:rPr>
          <w:rFonts w:eastAsiaTheme="minorHAnsi" w:cs="Arial"/>
          <w:sz w:val="40"/>
          <w:szCs w:val="40"/>
          <w:lang w:eastAsia="en-US"/>
        </w:rPr>
        <w:tab/>
      </w:r>
    </w:p>
    <w:sectPr w:rsidR="00881831" w:rsidRPr="00037303" w:rsidSect="00761ECC">
      <w:footerReference w:type="even" r:id="rId11"/>
      <w:footerReference w:type="default" r:id="rId12"/>
      <w:pgSz w:w="11906" w:h="16838" w:code="9"/>
      <w:pgMar w:top="1134" w:right="986" w:bottom="142"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3292" w14:textId="77777777" w:rsidR="00C468DB" w:rsidRDefault="00C468DB">
      <w:r>
        <w:separator/>
      </w:r>
    </w:p>
  </w:endnote>
  <w:endnote w:type="continuationSeparator" w:id="0">
    <w:p w14:paraId="3E7B0970" w14:textId="77777777" w:rsidR="00C468DB" w:rsidRDefault="00C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IYDEB V+ Swiss 721 BT">
    <w:altName w:val="Swis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3901" w14:textId="77777777" w:rsidR="00C468DB" w:rsidRDefault="00C468DB" w:rsidP="00F93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EDDF6" w14:textId="77777777" w:rsidR="00C468DB" w:rsidRDefault="00C468DB" w:rsidP="000B1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1B17" w14:textId="77777777" w:rsidR="00C468DB" w:rsidRDefault="007E4CBF">
    <w:pPr>
      <w:pStyle w:val="Footer"/>
    </w:pPr>
    <w:r>
      <w:t>R</w:t>
    </w:r>
    <w:r w:rsidR="00672707">
      <w:t>eviewed September 2020 – to be reviewed July 2021</w:t>
    </w:r>
  </w:p>
  <w:p w14:paraId="52843DD0" w14:textId="77777777" w:rsidR="00C468DB" w:rsidRDefault="00C468DB" w:rsidP="000B1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A1A2" w14:textId="77777777" w:rsidR="00C468DB" w:rsidRDefault="00C468DB">
      <w:r>
        <w:separator/>
      </w:r>
    </w:p>
  </w:footnote>
  <w:footnote w:type="continuationSeparator" w:id="0">
    <w:p w14:paraId="6CBAC9E6" w14:textId="77777777" w:rsidR="00C468DB" w:rsidRDefault="00C4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E98"/>
    <w:multiLevelType w:val="hybridMultilevel"/>
    <w:tmpl w:val="719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4AB9"/>
    <w:multiLevelType w:val="hybridMultilevel"/>
    <w:tmpl w:val="D3A27E22"/>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E3B12A2"/>
    <w:multiLevelType w:val="hybridMultilevel"/>
    <w:tmpl w:val="F99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1399"/>
    <w:multiLevelType w:val="hybridMultilevel"/>
    <w:tmpl w:val="F6E4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55341"/>
    <w:multiLevelType w:val="hybridMultilevel"/>
    <w:tmpl w:val="48E87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A5A8D"/>
    <w:multiLevelType w:val="hybridMultilevel"/>
    <w:tmpl w:val="22D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550FB"/>
    <w:multiLevelType w:val="hybridMultilevel"/>
    <w:tmpl w:val="CCF68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842CC"/>
    <w:multiLevelType w:val="hybridMultilevel"/>
    <w:tmpl w:val="91D62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2679D"/>
    <w:multiLevelType w:val="hybridMultilevel"/>
    <w:tmpl w:val="010C92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8A01CD5"/>
    <w:multiLevelType w:val="hybridMultilevel"/>
    <w:tmpl w:val="8230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77285"/>
    <w:multiLevelType w:val="hybridMultilevel"/>
    <w:tmpl w:val="38266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F275E"/>
    <w:multiLevelType w:val="hybridMultilevel"/>
    <w:tmpl w:val="E402A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3190B"/>
    <w:multiLevelType w:val="hybridMultilevel"/>
    <w:tmpl w:val="CA800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1D5AB9"/>
    <w:multiLevelType w:val="hybridMultilevel"/>
    <w:tmpl w:val="711A53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55CC6"/>
    <w:multiLevelType w:val="hybridMultilevel"/>
    <w:tmpl w:val="AA8A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40473"/>
    <w:multiLevelType w:val="hybridMultilevel"/>
    <w:tmpl w:val="43544AFC"/>
    <w:lvl w:ilvl="0" w:tplc="08090001">
      <w:start w:val="1"/>
      <w:numFmt w:val="bullet"/>
      <w:lvlText w:val=""/>
      <w:lvlJc w:val="left"/>
      <w:pPr>
        <w:tabs>
          <w:tab w:val="num" w:pos="720"/>
        </w:tabs>
        <w:ind w:left="720" w:hanging="360"/>
      </w:pPr>
      <w:rPr>
        <w:rFonts w:ascii="Symbol" w:hAnsi="Symbol" w:hint="default"/>
      </w:rPr>
    </w:lvl>
    <w:lvl w:ilvl="1" w:tplc="B94C3DD6">
      <w:start w:val="1"/>
      <w:numFmt w:val="decimal"/>
      <w:lvlText w:val="%2."/>
      <w:lvlJc w:val="left"/>
      <w:pPr>
        <w:tabs>
          <w:tab w:val="num" w:pos="1440"/>
        </w:tabs>
        <w:ind w:left="1440" w:hanging="360"/>
      </w:pPr>
      <w:rPr>
        <w:rFonts w:cs="Times New Roman"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E0FCE"/>
    <w:multiLevelType w:val="hybridMultilevel"/>
    <w:tmpl w:val="14EC1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24543"/>
    <w:multiLevelType w:val="hybridMultilevel"/>
    <w:tmpl w:val="C8E0D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302B54"/>
    <w:multiLevelType w:val="hybridMultilevel"/>
    <w:tmpl w:val="C764C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E1515"/>
    <w:multiLevelType w:val="hybridMultilevel"/>
    <w:tmpl w:val="FE2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96772"/>
    <w:multiLevelType w:val="hybridMultilevel"/>
    <w:tmpl w:val="5E9881D2"/>
    <w:lvl w:ilvl="0" w:tplc="EBCEFA5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542A6"/>
    <w:multiLevelType w:val="hybridMultilevel"/>
    <w:tmpl w:val="229E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52499"/>
    <w:multiLevelType w:val="hybridMultilevel"/>
    <w:tmpl w:val="8A10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95688"/>
    <w:multiLevelType w:val="hybridMultilevel"/>
    <w:tmpl w:val="DE1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76CAB"/>
    <w:multiLevelType w:val="hybridMultilevel"/>
    <w:tmpl w:val="AA5A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43AA8"/>
    <w:multiLevelType w:val="hybridMultilevel"/>
    <w:tmpl w:val="A28073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5"/>
  </w:num>
  <w:num w:numId="4">
    <w:abstractNumId w:val="20"/>
  </w:num>
  <w:num w:numId="5">
    <w:abstractNumId w:val="18"/>
  </w:num>
  <w:num w:numId="6">
    <w:abstractNumId w:val="4"/>
  </w:num>
  <w:num w:numId="7">
    <w:abstractNumId w:val="7"/>
  </w:num>
  <w:num w:numId="8">
    <w:abstractNumId w:val="16"/>
  </w:num>
  <w:num w:numId="9">
    <w:abstractNumId w:val="10"/>
  </w:num>
  <w:num w:numId="10">
    <w:abstractNumId w:val="11"/>
  </w:num>
  <w:num w:numId="11">
    <w:abstractNumId w:val="12"/>
  </w:num>
  <w:num w:numId="12">
    <w:abstractNumId w:val="17"/>
  </w:num>
  <w:num w:numId="13">
    <w:abstractNumId w:val="21"/>
  </w:num>
  <w:num w:numId="14">
    <w:abstractNumId w:val="6"/>
  </w:num>
  <w:num w:numId="15">
    <w:abstractNumId w:val="8"/>
  </w:num>
  <w:num w:numId="16">
    <w:abstractNumId w:val="1"/>
  </w:num>
  <w:num w:numId="17">
    <w:abstractNumId w:val="5"/>
  </w:num>
  <w:num w:numId="18">
    <w:abstractNumId w:val="0"/>
  </w:num>
  <w:num w:numId="19">
    <w:abstractNumId w:val="14"/>
  </w:num>
  <w:num w:numId="20">
    <w:abstractNumId w:val="22"/>
  </w:num>
  <w:num w:numId="21">
    <w:abstractNumId w:val="2"/>
  </w:num>
  <w:num w:numId="22">
    <w:abstractNumId w:val="9"/>
  </w:num>
  <w:num w:numId="23">
    <w:abstractNumId w:val="19"/>
  </w:num>
  <w:num w:numId="24">
    <w:abstractNumId w:val="24"/>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EF"/>
    <w:rsid w:val="00035B5E"/>
    <w:rsid w:val="00037303"/>
    <w:rsid w:val="00090572"/>
    <w:rsid w:val="00094CA1"/>
    <w:rsid w:val="000B1C09"/>
    <w:rsid w:val="000C291F"/>
    <w:rsid w:val="000E60C4"/>
    <w:rsid w:val="000F14F0"/>
    <w:rsid w:val="00106485"/>
    <w:rsid w:val="001156C9"/>
    <w:rsid w:val="00132B52"/>
    <w:rsid w:val="001539AB"/>
    <w:rsid w:val="00163735"/>
    <w:rsid w:val="001C051C"/>
    <w:rsid w:val="001F6BF4"/>
    <w:rsid w:val="0021491A"/>
    <w:rsid w:val="00220C03"/>
    <w:rsid w:val="00244D66"/>
    <w:rsid w:val="00272859"/>
    <w:rsid w:val="002938B2"/>
    <w:rsid w:val="002A6D5E"/>
    <w:rsid w:val="002B5D29"/>
    <w:rsid w:val="002B6A71"/>
    <w:rsid w:val="002D5240"/>
    <w:rsid w:val="002F1D77"/>
    <w:rsid w:val="002F3F8C"/>
    <w:rsid w:val="00316497"/>
    <w:rsid w:val="00327E4D"/>
    <w:rsid w:val="003405F7"/>
    <w:rsid w:val="00340DE6"/>
    <w:rsid w:val="00356A15"/>
    <w:rsid w:val="00357C7D"/>
    <w:rsid w:val="003A3B6F"/>
    <w:rsid w:val="003A7777"/>
    <w:rsid w:val="003D4675"/>
    <w:rsid w:val="003E2884"/>
    <w:rsid w:val="00410977"/>
    <w:rsid w:val="00421647"/>
    <w:rsid w:val="00481A40"/>
    <w:rsid w:val="00490CF6"/>
    <w:rsid w:val="00491310"/>
    <w:rsid w:val="004B4C31"/>
    <w:rsid w:val="004E7FBE"/>
    <w:rsid w:val="004F4171"/>
    <w:rsid w:val="004F5F56"/>
    <w:rsid w:val="00512E32"/>
    <w:rsid w:val="00513E25"/>
    <w:rsid w:val="00517981"/>
    <w:rsid w:val="00543F43"/>
    <w:rsid w:val="0054749C"/>
    <w:rsid w:val="00563A1B"/>
    <w:rsid w:val="005C2EC6"/>
    <w:rsid w:val="005C34D4"/>
    <w:rsid w:val="005C7078"/>
    <w:rsid w:val="00617D4D"/>
    <w:rsid w:val="006310AE"/>
    <w:rsid w:val="00644E6A"/>
    <w:rsid w:val="00647B38"/>
    <w:rsid w:val="00655C55"/>
    <w:rsid w:val="00666092"/>
    <w:rsid w:val="00667439"/>
    <w:rsid w:val="00672707"/>
    <w:rsid w:val="00697B01"/>
    <w:rsid w:val="006D41DB"/>
    <w:rsid w:val="006D55DF"/>
    <w:rsid w:val="00734CC7"/>
    <w:rsid w:val="00743997"/>
    <w:rsid w:val="00744723"/>
    <w:rsid w:val="00761ECC"/>
    <w:rsid w:val="00766498"/>
    <w:rsid w:val="007811FA"/>
    <w:rsid w:val="007D039C"/>
    <w:rsid w:val="007E4CBF"/>
    <w:rsid w:val="007F0A53"/>
    <w:rsid w:val="0082625E"/>
    <w:rsid w:val="00836A55"/>
    <w:rsid w:val="0083759B"/>
    <w:rsid w:val="008376E3"/>
    <w:rsid w:val="008640B3"/>
    <w:rsid w:val="00881831"/>
    <w:rsid w:val="008978CA"/>
    <w:rsid w:val="008A2CF6"/>
    <w:rsid w:val="008C5102"/>
    <w:rsid w:val="008D140E"/>
    <w:rsid w:val="008D6A96"/>
    <w:rsid w:val="0090603C"/>
    <w:rsid w:val="009443C7"/>
    <w:rsid w:val="00964645"/>
    <w:rsid w:val="009A424B"/>
    <w:rsid w:val="009B0CC0"/>
    <w:rsid w:val="00A025D3"/>
    <w:rsid w:val="00A20C15"/>
    <w:rsid w:val="00A33083"/>
    <w:rsid w:val="00A361DC"/>
    <w:rsid w:val="00A406BA"/>
    <w:rsid w:val="00A4685D"/>
    <w:rsid w:val="00A555E6"/>
    <w:rsid w:val="00AB4C86"/>
    <w:rsid w:val="00AB6FFD"/>
    <w:rsid w:val="00AF4921"/>
    <w:rsid w:val="00AF7660"/>
    <w:rsid w:val="00B00015"/>
    <w:rsid w:val="00B01E96"/>
    <w:rsid w:val="00B11BE0"/>
    <w:rsid w:val="00B14C94"/>
    <w:rsid w:val="00B16D72"/>
    <w:rsid w:val="00B25724"/>
    <w:rsid w:val="00B421E6"/>
    <w:rsid w:val="00B700D8"/>
    <w:rsid w:val="00B7716D"/>
    <w:rsid w:val="00BA6E8F"/>
    <w:rsid w:val="00BB5DC9"/>
    <w:rsid w:val="00BC1B99"/>
    <w:rsid w:val="00BE65FF"/>
    <w:rsid w:val="00BE7FEF"/>
    <w:rsid w:val="00BF0506"/>
    <w:rsid w:val="00BF2964"/>
    <w:rsid w:val="00BF363F"/>
    <w:rsid w:val="00BF70F6"/>
    <w:rsid w:val="00C057FC"/>
    <w:rsid w:val="00C24335"/>
    <w:rsid w:val="00C40DE7"/>
    <w:rsid w:val="00C45A1E"/>
    <w:rsid w:val="00C468DB"/>
    <w:rsid w:val="00C57B69"/>
    <w:rsid w:val="00C72D5C"/>
    <w:rsid w:val="00C92DEF"/>
    <w:rsid w:val="00CC6783"/>
    <w:rsid w:val="00CE434A"/>
    <w:rsid w:val="00CF551B"/>
    <w:rsid w:val="00CF6F05"/>
    <w:rsid w:val="00D001A5"/>
    <w:rsid w:val="00D10C96"/>
    <w:rsid w:val="00D57002"/>
    <w:rsid w:val="00E021FA"/>
    <w:rsid w:val="00E11247"/>
    <w:rsid w:val="00E407C4"/>
    <w:rsid w:val="00E93C14"/>
    <w:rsid w:val="00ED3FFF"/>
    <w:rsid w:val="00F031CB"/>
    <w:rsid w:val="00F063A6"/>
    <w:rsid w:val="00F4588A"/>
    <w:rsid w:val="00F70C7F"/>
    <w:rsid w:val="00F71EC1"/>
    <w:rsid w:val="00F93785"/>
    <w:rsid w:val="00FA1474"/>
    <w:rsid w:val="00FC2C34"/>
    <w:rsid w:val="00FC6EE9"/>
    <w:rsid w:val="00FE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09D45"/>
  <w15:chartTrackingRefBased/>
  <w15:docId w15:val="{302DDE04-5B06-4DB7-94A9-F66A4F9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56A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56A15"/>
    <w:pPr>
      <w:keepNext/>
      <w:overflowPunct w:val="0"/>
      <w:autoSpaceDE w:val="0"/>
      <w:autoSpaceDN w:val="0"/>
      <w:adjustRightInd w:val="0"/>
      <w:ind w:left="720"/>
      <w:textAlignment w:val="baseline"/>
      <w:outlineLvl w:val="3"/>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97"/>
    <w:rPr>
      <w:color w:val="0000FF"/>
      <w:u w:val="single"/>
    </w:rPr>
  </w:style>
  <w:style w:type="paragraph" w:styleId="BalloonText">
    <w:name w:val="Balloon Text"/>
    <w:basedOn w:val="Normal"/>
    <w:semiHidden/>
    <w:rsid w:val="00D57002"/>
    <w:rPr>
      <w:rFonts w:ascii="Tahoma" w:hAnsi="Tahoma" w:cs="Tahoma"/>
      <w:sz w:val="16"/>
      <w:szCs w:val="16"/>
    </w:rPr>
  </w:style>
  <w:style w:type="table" w:styleId="TableGrid">
    <w:name w:val="Table Grid"/>
    <w:basedOn w:val="TableNormal"/>
    <w:rsid w:val="00FC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1C09"/>
    <w:pPr>
      <w:tabs>
        <w:tab w:val="center" w:pos="4153"/>
        <w:tab w:val="right" w:pos="8306"/>
      </w:tabs>
    </w:pPr>
  </w:style>
  <w:style w:type="character" w:styleId="PageNumber">
    <w:name w:val="page number"/>
    <w:basedOn w:val="DefaultParagraphFont"/>
    <w:rsid w:val="000B1C09"/>
  </w:style>
  <w:style w:type="paragraph" w:styleId="Header">
    <w:name w:val="header"/>
    <w:basedOn w:val="Normal"/>
    <w:rsid w:val="000B1C09"/>
    <w:pPr>
      <w:tabs>
        <w:tab w:val="center" w:pos="4153"/>
        <w:tab w:val="right" w:pos="8306"/>
      </w:tabs>
    </w:pPr>
  </w:style>
  <w:style w:type="paragraph" w:customStyle="1" w:styleId="Default">
    <w:name w:val="Default"/>
    <w:rsid w:val="00E407C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407C4"/>
    <w:pPr>
      <w:ind w:left="720"/>
      <w:contextualSpacing/>
    </w:pPr>
  </w:style>
  <w:style w:type="paragraph" w:customStyle="1" w:styleId="Pa0">
    <w:name w:val="Pa0"/>
    <w:basedOn w:val="Default"/>
    <w:next w:val="Default"/>
    <w:uiPriority w:val="99"/>
    <w:rsid w:val="00E407C4"/>
    <w:pPr>
      <w:spacing w:line="241" w:lineRule="atLeast"/>
    </w:pPr>
    <w:rPr>
      <w:rFonts w:ascii="Swiss 72 1 BT" w:eastAsia="Calibri" w:hAnsi="Swiss 72 1 BT" w:cs="Times New Roman"/>
      <w:color w:val="auto"/>
      <w:lang w:eastAsia="en-US"/>
    </w:rPr>
  </w:style>
  <w:style w:type="character" w:customStyle="1" w:styleId="A0">
    <w:name w:val="A0"/>
    <w:uiPriority w:val="99"/>
    <w:rsid w:val="00E407C4"/>
    <w:rPr>
      <w:rFonts w:cs="Swiss 72 1 BT"/>
      <w:color w:val="000000"/>
      <w:sz w:val="22"/>
      <w:szCs w:val="22"/>
    </w:rPr>
  </w:style>
  <w:style w:type="paragraph" w:customStyle="1" w:styleId="Pa1">
    <w:name w:val="Pa1"/>
    <w:basedOn w:val="Default"/>
    <w:next w:val="Default"/>
    <w:uiPriority w:val="99"/>
    <w:rsid w:val="00E407C4"/>
    <w:pPr>
      <w:spacing w:line="241" w:lineRule="atLeast"/>
    </w:pPr>
    <w:rPr>
      <w:rFonts w:ascii="Swiss 72 1 BT" w:eastAsia="Calibri" w:hAnsi="Swiss 72 1 BT" w:cs="Times New Roman"/>
      <w:color w:val="auto"/>
      <w:lang w:eastAsia="en-US"/>
    </w:rPr>
  </w:style>
  <w:style w:type="paragraph" w:customStyle="1" w:styleId="Pa3">
    <w:name w:val="Pa3"/>
    <w:basedOn w:val="Default"/>
    <w:next w:val="Default"/>
    <w:uiPriority w:val="99"/>
    <w:rsid w:val="00340DE6"/>
    <w:pPr>
      <w:spacing w:line="221" w:lineRule="atLeast"/>
    </w:pPr>
    <w:rPr>
      <w:rFonts w:ascii="IYDEB V+ Swiss 721 BT" w:hAnsi="IYDEB V+ Swiss 721 BT" w:cs="Times New Roman"/>
      <w:color w:val="auto"/>
    </w:rPr>
  </w:style>
  <w:style w:type="character" w:styleId="FollowedHyperlink">
    <w:name w:val="FollowedHyperlink"/>
    <w:basedOn w:val="DefaultParagraphFont"/>
    <w:rsid w:val="00666092"/>
    <w:rPr>
      <w:color w:val="954F72" w:themeColor="followedHyperlink"/>
      <w:u w:val="single"/>
    </w:rPr>
  </w:style>
  <w:style w:type="character" w:customStyle="1" w:styleId="FooterChar">
    <w:name w:val="Footer Char"/>
    <w:basedOn w:val="DefaultParagraphFont"/>
    <w:link w:val="Footer"/>
    <w:uiPriority w:val="99"/>
    <w:rsid w:val="005C2EC6"/>
    <w:rPr>
      <w:rFonts w:ascii="Arial" w:hAnsi="Arial"/>
      <w:sz w:val="24"/>
      <w:szCs w:val="24"/>
    </w:rPr>
  </w:style>
  <w:style w:type="character" w:customStyle="1" w:styleId="Heading4Char">
    <w:name w:val="Heading 4 Char"/>
    <w:basedOn w:val="DefaultParagraphFont"/>
    <w:link w:val="Heading4"/>
    <w:rsid w:val="00356A15"/>
    <w:rPr>
      <w:rFonts w:ascii="Arial" w:hAnsi="Arial"/>
      <w:i/>
      <w:sz w:val="24"/>
      <w:lang w:eastAsia="en-US"/>
    </w:rPr>
  </w:style>
  <w:style w:type="paragraph" w:styleId="BodyTextIndent2">
    <w:name w:val="Body Text Indent 2"/>
    <w:basedOn w:val="Normal"/>
    <w:link w:val="BodyTextIndent2Char"/>
    <w:rsid w:val="00356A15"/>
    <w:pPr>
      <w:overflowPunct w:val="0"/>
      <w:autoSpaceDE w:val="0"/>
      <w:autoSpaceDN w:val="0"/>
      <w:adjustRightInd w:val="0"/>
      <w:ind w:left="720"/>
      <w:textAlignment w:val="baseline"/>
    </w:pPr>
    <w:rPr>
      <w:i/>
      <w:szCs w:val="20"/>
      <w:lang w:val="en-US" w:eastAsia="en-US"/>
    </w:rPr>
  </w:style>
  <w:style w:type="character" w:customStyle="1" w:styleId="BodyTextIndent2Char">
    <w:name w:val="Body Text Indent 2 Char"/>
    <w:basedOn w:val="DefaultParagraphFont"/>
    <w:link w:val="BodyTextIndent2"/>
    <w:rsid w:val="00356A15"/>
    <w:rPr>
      <w:rFonts w:ascii="Arial" w:hAnsi="Arial"/>
      <w:i/>
      <w:sz w:val="24"/>
      <w:lang w:val="en-US" w:eastAsia="en-US"/>
    </w:rPr>
  </w:style>
  <w:style w:type="paragraph" w:customStyle="1" w:styleId="Style1">
    <w:name w:val="Style1"/>
    <w:basedOn w:val="Heading1"/>
    <w:rsid w:val="00356A15"/>
    <w:pPr>
      <w:keepLines w:val="0"/>
      <w:tabs>
        <w:tab w:val="left" w:pos="360"/>
      </w:tabs>
      <w:overflowPunct w:val="0"/>
      <w:autoSpaceDE w:val="0"/>
      <w:autoSpaceDN w:val="0"/>
      <w:adjustRightInd w:val="0"/>
      <w:spacing w:before="0"/>
      <w:ind w:left="360" w:hanging="360"/>
      <w:textAlignment w:val="baseline"/>
      <w:outlineLvl w:val="9"/>
    </w:pPr>
    <w:rPr>
      <w:rFonts w:ascii="Arial" w:eastAsia="Times New Roman" w:hAnsi="Arial" w:cs="Times New Roman"/>
      <w:color w:val="auto"/>
      <w:sz w:val="22"/>
      <w:szCs w:val="20"/>
      <w:lang w:eastAsia="en-US"/>
    </w:rPr>
  </w:style>
  <w:style w:type="character" w:customStyle="1" w:styleId="Heading1Char">
    <w:name w:val="Heading 1 Char"/>
    <w:basedOn w:val="DefaultParagraphFont"/>
    <w:link w:val="Heading1"/>
    <w:rsid w:val="00356A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9731-FC80-4452-A2CC-D80862AF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5008</CharactersWithSpaces>
  <SharedDoc>false</SharedDoc>
  <HLinks>
    <vt:vector size="6" baseType="variant">
      <vt:variant>
        <vt:i4>3407998</vt:i4>
      </vt:variant>
      <vt:variant>
        <vt:i4>0</vt:i4>
      </vt:variant>
      <vt:variant>
        <vt:i4>0</vt:i4>
      </vt:variant>
      <vt:variant>
        <vt:i4>5</vt:i4>
      </vt:variant>
      <vt:variant>
        <vt:lpwstr>http://www.southampton.gov.uk/learning/learningskills/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Davison, Lorraine</cp:lastModifiedBy>
  <cp:revision>2</cp:revision>
  <dcterms:created xsi:type="dcterms:W3CDTF">2021-08-24T13:43:00Z</dcterms:created>
  <dcterms:modified xsi:type="dcterms:W3CDTF">2021-08-24T13:43:00Z</dcterms:modified>
</cp:coreProperties>
</file>